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4A" w:rsidRDefault="000A1A4A" w:rsidP="007E5C0E">
      <w:pPr>
        <w:spacing w:after="0"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6" name="Rectangle 26" descr="C:\Users\user6\Downloads\Telegram Desktop\%D9%83%D8%AA%D8%A8 %D8%AC%D8%AF%D9%8A%D8%AF%D8%A9\mohamat2019-web-resources\image\Logo_Silsilat_Fokh.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25B11"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lyTVcgAwAAVA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Default="003B070C" w:rsidP="007E5C0E">
      <w:pPr>
        <w:spacing w:after="0" w:line="240" w:lineRule="auto"/>
        <w:jc w:val="both"/>
        <w:rPr>
          <w:rFonts w:ascii="Adobe Arabic" w:eastAsia="Times New Roman" w:hAnsi="Adobe Arabic" w:cs="Adobe Arabic"/>
          <w:color w:val="000000"/>
          <w:sz w:val="32"/>
          <w:szCs w:val="32"/>
          <w:rtl/>
        </w:rPr>
      </w:pPr>
    </w:p>
    <w:p w:rsidR="003B070C" w:rsidRPr="007E5C0E" w:rsidRDefault="003B070C" w:rsidP="007E5C0E">
      <w:pPr>
        <w:spacing w:after="0" w:line="240" w:lineRule="auto"/>
        <w:jc w:val="both"/>
        <w:rPr>
          <w:rFonts w:ascii="Adobe Arabic" w:eastAsia="Times New Roman" w:hAnsi="Adobe Arabic" w:cs="Adobe Arabic"/>
          <w:color w:val="000000"/>
          <w:sz w:val="32"/>
          <w:szCs w:val="32"/>
        </w:rPr>
      </w:pPr>
    </w:p>
    <w:p w:rsidR="003B070C" w:rsidRPr="0089631B" w:rsidRDefault="003B070C" w:rsidP="003B070C">
      <w:pPr>
        <w:bidi/>
        <w:spacing w:after="0" w:line="240" w:lineRule="auto"/>
        <w:jc w:val="center"/>
        <w:rPr>
          <w:rFonts w:ascii="Adobe Arabic" w:eastAsia="Times New Roman" w:hAnsi="Adobe Arabic" w:cs="Adobe Arabic"/>
          <w:b/>
          <w:bCs/>
          <w:color w:val="000000"/>
          <w:sz w:val="96"/>
          <w:szCs w:val="96"/>
        </w:rPr>
      </w:pPr>
      <w:r w:rsidRPr="0089631B">
        <w:rPr>
          <w:rFonts w:ascii="Adobe Arabic" w:eastAsia="Times New Roman" w:hAnsi="Adobe Arabic" w:cs="Adobe Arabic" w:hint="cs"/>
          <w:b/>
          <w:bCs/>
          <w:color w:val="FFFFFF" w:themeColor="background1"/>
          <w:sz w:val="96"/>
          <w:szCs w:val="96"/>
          <w:shd w:val="clear" w:color="auto" w:fill="7F7F7F" w:themeFill="text1" w:themeFillTint="80"/>
          <w:rtl/>
        </w:rPr>
        <w:t>سلسلة الفقه الموضوعي</w:t>
      </w:r>
    </w:p>
    <w:p w:rsidR="003B070C" w:rsidRPr="0089631B" w:rsidRDefault="003B070C" w:rsidP="003B070C">
      <w:pPr>
        <w:bidi/>
        <w:spacing w:before="100" w:beforeAutospacing="1" w:after="100" w:afterAutospacing="1" w:line="240" w:lineRule="auto"/>
        <w:jc w:val="center"/>
        <w:rPr>
          <w:rFonts w:ascii="Adobe Arabic" w:eastAsia="Times New Roman" w:hAnsi="Adobe Arabic" w:cs="Adobe Arabic"/>
          <w:b/>
          <w:bCs/>
          <w:color w:val="FF9933"/>
          <w:sz w:val="180"/>
          <w:szCs w:val="180"/>
          <w:rtl/>
        </w:rPr>
      </w:pPr>
      <w:r w:rsidRPr="003B070C">
        <w:rPr>
          <w:rFonts w:ascii="Adobe Arabic" w:eastAsia="Times New Roman" w:hAnsi="Adobe Arabic" w:cs="Adobe Arabic"/>
          <w:b/>
          <w:bCs/>
          <w:color w:val="FFFFFF" w:themeColor="background1"/>
          <w:sz w:val="180"/>
          <w:szCs w:val="180"/>
          <w:shd w:val="clear" w:color="auto" w:fill="94553C"/>
          <w:rtl/>
        </w:rPr>
        <w:t>فقه المحا</w:t>
      </w:r>
      <w:r w:rsidRPr="003B070C">
        <w:rPr>
          <w:rFonts w:ascii="Adobe Arabic" w:eastAsia="Times New Roman" w:hAnsi="Adobe Arabic" w:cs="Adobe Arabic" w:hint="cs"/>
          <w:b/>
          <w:bCs/>
          <w:color w:val="FFFFFF" w:themeColor="background1"/>
          <w:sz w:val="180"/>
          <w:szCs w:val="180"/>
          <w:shd w:val="clear" w:color="auto" w:fill="94553C"/>
          <w:rtl/>
        </w:rPr>
        <w:t>ماة</w:t>
      </w:r>
    </w:p>
    <w:p w:rsidR="003B070C" w:rsidRDefault="003B07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A1A4A" w:rsidRPr="007E5C0E" w:rsidRDefault="000A1A4A" w:rsidP="007E5C0E">
      <w:pPr>
        <w:spacing w:after="0"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noProof/>
          <w:color w:val="000000"/>
          <w:sz w:val="32"/>
          <w:szCs w:val="32"/>
        </w:rPr>
        <w:lastRenderedPageBreak/>
        <mc:AlternateContent>
          <mc:Choice Requires="wps">
            <w:drawing>
              <wp:inline distT="0" distB="0" distL="0" distR="0">
                <wp:extent cx="304800" cy="304800"/>
                <wp:effectExtent l="0" t="0" r="0" b="0"/>
                <wp:docPr id="25" name="Rectangle 25" descr="C:\Users\user6\Downloads\Telegram Desktop\%D9%83%D8%AA%D8%A8 %D8%AC%D8%AF%D9%8A%D8%AF%D8%A9\mohamat2019-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4DAA8"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OxnWCGwMAAFA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3B070C" w:rsidRDefault="003B070C" w:rsidP="003B070C">
      <w:pPr>
        <w:bidi/>
        <w:spacing w:after="0" w:line="240" w:lineRule="auto"/>
        <w:jc w:val="both"/>
        <w:rPr>
          <w:rFonts w:ascii="Adobe Arabic" w:eastAsia="Times New Roman" w:hAnsi="Adobe Arabic" w:cs="Adobe Arabic"/>
          <w:color w:val="000000"/>
          <w:sz w:val="32"/>
          <w:szCs w:val="32"/>
          <w:rtl/>
        </w:rPr>
      </w:pPr>
    </w:p>
    <w:tbl>
      <w:tblPr>
        <w:tblpPr w:leftFromText="180" w:rightFromText="180" w:vertAnchor="text" w:horzAnchor="page" w:tblpXSpec="center" w:tblpY="3637"/>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620"/>
      </w:tblGrid>
      <w:tr w:rsidR="003B070C" w:rsidRPr="007E5C0E" w:rsidTr="003B070C">
        <w:trPr>
          <w:tblCellSpacing w:w="15" w:type="dxa"/>
        </w:trPr>
        <w:tc>
          <w:tcPr>
            <w:tcW w:w="0" w:type="auto"/>
            <w:vAlign w:val="center"/>
            <w:hideMark/>
          </w:tcPr>
          <w:p w:rsidR="003B070C" w:rsidRPr="003B070C" w:rsidRDefault="003B070C" w:rsidP="003B070C">
            <w:pPr>
              <w:bidi/>
              <w:spacing w:before="100" w:beforeAutospacing="1" w:after="100" w:afterAutospacing="1" w:line="240" w:lineRule="auto"/>
              <w:jc w:val="both"/>
              <w:rPr>
                <w:rFonts w:ascii="Adobe Arabic" w:eastAsia="Times New Roman" w:hAnsi="Adobe Arabic" w:cs="Adobe Arabic"/>
                <w:b/>
                <w:bCs/>
                <w:color w:val="94553C"/>
                <w:sz w:val="32"/>
                <w:szCs w:val="32"/>
              </w:rPr>
            </w:pPr>
            <w:r w:rsidRPr="003B070C">
              <w:rPr>
                <w:rFonts w:ascii="Adobe Arabic" w:eastAsia="Times New Roman" w:hAnsi="Adobe Arabic" w:cs="Adobe Arabic"/>
                <w:b/>
                <w:bCs/>
                <w:color w:val="94553C"/>
                <w:sz w:val="32"/>
                <w:szCs w:val="32"/>
                <w:rtl/>
              </w:rPr>
              <w:t>الكتاب</w:t>
            </w:r>
            <w:r w:rsidRPr="003B070C">
              <w:rPr>
                <w:rFonts w:ascii="Adobe Arabic" w:eastAsia="Times New Roman" w:hAnsi="Adobe Arabic" w:cs="Adobe Arabic"/>
                <w:b/>
                <w:bCs/>
                <w:color w:val="94553C"/>
                <w:sz w:val="32"/>
                <w:szCs w:val="32"/>
              </w:rPr>
              <w:t>:</w:t>
            </w:r>
          </w:p>
        </w:tc>
        <w:tc>
          <w:tcPr>
            <w:tcW w:w="0" w:type="auto"/>
            <w:vAlign w:val="center"/>
            <w:hideMark/>
          </w:tcPr>
          <w:p w:rsidR="003B070C" w:rsidRPr="007E5C0E" w:rsidRDefault="003B070C" w:rsidP="003B070C">
            <w:pPr>
              <w:bidi/>
              <w:spacing w:before="100" w:beforeAutospacing="1" w:after="100" w:afterAutospacing="1" w:line="240" w:lineRule="auto"/>
              <w:jc w:val="both"/>
              <w:rPr>
                <w:rFonts w:ascii="Adobe Arabic" w:eastAsia="Times New Roman" w:hAnsi="Adobe Arabic" w:cs="Adobe Arabic"/>
                <w:sz w:val="32"/>
                <w:szCs w:val="32"/>
              </w:rPr>
            </w:pPr>
            <w:r w:rsidRPr="007E5C0E">
              <w:rPr>
                <w:rFonts w:ascii="Adobe Arabic" w:eastAsia="Times New Roman" w:hAnsi="Adobe Arabic" w:cs="Adobe Arabic"/>
                <w:sz w:val="32"/>
                <w:szCs w:val="32"/>
                <w:rtl/>
              </w:rPr>
              <w:t>فقه المحاماة</w:t>
            </w:r>
          </w:p>
        </w:tc>
      </w:tr>
      <w:tr w:rsidR="003B070C" w:rsidRPr="007E5C0E" w:rsidTr="003B070C">
        <w:trPr>
          <w:tblCellSpacing w:w="15" w:type="dxa"/>
        </w:trPr>
        <w:tc>
          <w:tcPr>
            <w:tcW w:w="0" w:type="auto"/>
            <w:vAlign w:val="center"/>
            <w:hideMark/>
          </w:tcPr>
          <w:p w:rsidR="003B070C" w:rsidRPr="003B070C" w:rsidRDefault="003B070C" w:rsidP="003B070C">
            <w:pPr>
              <w:bidi/>
              <w:spacing w:before="100" w:beforeAutospacing="1" w:after="100" w:afterAutospacing="1" w:line="240" w:lineRule="auto"/>
              <w:jc w:val="both"/>
              <w:rPr>
                <w:rFonts w:ascii="Adobe Arabic" w:eastAsia="Times New Roman" w:hAnsi="Adobe Arabic" w:cs="Adobe Arabic"/>
                <w:b/>
                <w:bCs/>
                <w:color w:val="94553C"/>
                <w:sz w:val="32"/>
                <w:szCs w:val="32"/>
              </w:rPr>
            </w:pPr>
            <w:r w:rsidRPr="003B070C">
              <w:rPr>
                <w:rFonts w:ascii="Adobe Arabic" w:eastAsia="Times New Roman" w:hAnsi="Adobe Arabic" w:cs="Adobe Arabic"/>
                <w:b/>
                <w:bCs/>
                <w:color w:val="94553C"/>
                <w:sz w:val="32"/>
                <w:szCs w:val="32"/>
                <w:rtl/>
              </w:rPr>
              <w:t>إعـداد</w:t>
            </w:r>
            <w:r w:rsidRPr="003B070C">
              <w:rPr>
                <w:rFonts w:ascii="Adobe Arabic" w:eastAsia="Times New Roman" w:hAnsi="Adobe Arabic" w:cs="Adobe Arabic"/>
                <w:b/>
                <w:bCs/>
                <w:color w:val="94553C"/>
                <w:sz w:val="32"/>
                <w:szCs w:val="32"/>
              </w:rPr>
              <w:t>:</w:t>
            </w:r>
          </w:p>
        </w:tc>
        <w:tc>
          <w:tcPr>
            <w:tcW w:w="0" w:type="auto"/>
            <w:vAlign w:val="center"/>
            <w:hideMark/>
          </w:tcPr>
          <w:p w:rsidR="003B070C" w:rsidRPr="007E5C0E" w:rsidRDefault="003B070C" w:rsidP="003B070C">
            <w:pPr>
              <w:bidi/>
              <w:spacing w:before="100" w:beforeAutospacing="1" w:after="100" w:afterAutospacing="1" w:line="240" w:lineRule="auto"/>
              <w:jc w:val="both"/>
              <w:rPr>
                <w:rFonts w:ascii="Adobe Arabic" w:eastAsia="Times New Roman" w:hAnsi="Adobe Arabic" w:cs="Adobe Arabic"/>
                <w:sz w:val="32"/>
                <w:szCs w:val="32"/>
              </w:rPr>
            </w:pPr>
            <w:r w:rsidRPr="007E5C0E">
              <w:rPr>
                <w:rFonts w:ascii="Adobe Arabic" w:eastAsia="Times New Roman" w:hAnsi="Adobe Arabic" w:cs="Adobe Arabic"/>
                <w:sz w:val="32"/>
                <w:szCs w:val="32"/>
                <w:rtl/>
              </w:rPr>
              <w:t>مركز المعارف للتأليف والتحقيق</w:t>
            </w:r>
          </w:p>
        </w:tc>
      </w:tr>
      <w:tr w:rsidR="003B070C" w:rsidRPr="007E5C0E" w:rsidTr="003B070C">
        <w:trPr>
          <w:tblCellSpacing w:w="15" w:type="dxa"/>
        </w:trPr>
        <w:tc>
          <w:tcPr>
            <w:tcW w:w="0" w:type="auto"/>
            <w:vAlign w:val="center"/>
            <w:hideMark/>
          </w:tcPr>
          <w:p w:rsidR="003B070C" w:rsidRPr="003B070C" w:rsidRDefault="003B070C" w:rsidP="003B070C">
            <w:pPr>
              <w:bidi/>
              <w:spacing w:before="100" w:beforeAutospacing="1" w:after="100" w:afterAutospacing="1" w:line="240" w:lineRule="auto"/>
              <w:jc w:val="both"/>
              <w:rPr>
                <w:rFonts w:ascii="Adobe Arabic" w:eastAsia="Times New Roman" w:hAnsi="Adobe Arabic" w:cs="Adobe Arabic"/>
                <w:b/>
                <w:bCs/>
                <w:color w:val="94553C"/>
                <w:sz w:val="32"/>
                <w:szCs w:val="32"/>
              </w:rPr>
            </w:pPr>
            <w:r w:rsidRPr="003B070C">
              <w:rPr>
                <w:rFonts w:ascii="Adobe Arabic" w:eastAsia="Times New Roman" w:hAnsi="Adobe Arabic" w:cs="Adobe Arabic"/>
                <w:b/>
                <w:bCs/>
                <w:color w:val="94553C"/>
                <w:sz w:val="32"/>
                <w:szCs w:val="32"/>
                <w:rtl/>
              </w:rPr>
              <w:t>إصدار</w:t>
            </w:r>
            <w:r w:rsidRPr="003B070C">
              <w:rPr>
                <w:rFonts w:ascii="Adobe Arabic" w:eastAsia="Times New Roman" w:hAnsi="Adobe Arabic" w:cs="Adobe Arabic"/>
                <w:b/>
                <w:bCs/>
                <w:color w:val="94553C"/>
                <w:sz w:val="32"/>
                <w:szCs w:val="32"/>
              </w:rPr>
              <w:t>:</w:t>
            </w:r>
          </w:p>
        </w:tc>
        <w:tc>
          <w:tcPr>
            <w:tcW w:w="0" w:type="auto"/>
            <w:vAlign w:val="center"/>
            <w:hideMark/>
          </w:tcPr>
          <w:p w:rsidR="003B070C" w:rsidRPr="007E5C0E" w:rsidRDefault="003B070C" w:rsidP="003B070C">
            <w:pPr>
              <w:bidi/>
              <w:spacing w:before="100" w:beforeAutospacing="1" w:after="100" w:afterAutospacing="1" w:line="240" w:lineRule="auto"/>
              <w:jc w:val="both"/>
              <w:rPr>
                <w:rFonts w:ascii="Adobe Arabic" w:eastAsia="Times New Roman" w:hAnsi="Adobe Arabic" w:cs="Adobe Arabic"/>
                <w:sz w:val="32"/>
                <w:szCs w:val="32"/>
              </w:rPr>
            </w:pPr>
            <w:r w:rsidRPr="007E5C0E">
              <w:rPr>
                <w:rFonts w:ascii="Adobe Arabic" w:eastAsia="Times New Roman" w:hAnsi="Adobe Arabic" w:cs="Adobe Arabic"/>
                <w:sz w:val="32"/>
                <w:szCs w:val="32"/>
                <w:rtl/>
              </w:rPr>
              <w:t>دار المعارف الإسلاميَّة الثقافيَّة</w:t>
            </w:r>
          </w:p>
        </w:tc>
      </w:tr>
      <w:tr w:rsidR="003B070C" w:rsidRPr="007E5C0E" w:rsidTr="003B070C">
        <w:trPr>
          <w:tblCellSpacing w:w="15" w:type="dxa"/>
        </w:trPr>
        <w:tc>
          <w:tcPr>
            <w:tcW w:w="0" w:type="auto"/>
            <w:vAlign w:val="center"/>
            <w:hideMark/>
          </w:tcPr>
          <w:p w:rsidR="003B070C" w:rsidRPr="003B070C" w:rsidRDefault="003B070C" w:rsidP="003B070C">
            <w:pPr>
              <w:bidi/>
              <w:spacing w:before="100" w:beforeAutospacing="1" w:after="100" w:afterAutospacing="1" w:line="240" w:lineRule="auto"/>
              <w:jc w:val="both"/>
              <w:rPr>
                <w:rFonts w:ascii="Adobe Arabic" w:eastAsia="Times New Roman" w:hAnsi="Adobe Arabic" w:cs="Adobe Arabic"/>
                <w:b/>
                <w:bCs/>
                <w:color w:val="94553C"/>
                <w:sz w:val="32"/>
                <w:szCs w:val="32"/>
              </w:rPr>
            </w:pPr>
            <w:r w:rsidRPr="003B070C">
              <w:rPr>
                <w:rFonts w:ascii="Adobe Arabic" w:eastAsia="Times New Roman" w:hAnsi="Adobe Arabic" w:cs="Adobe Arabic"/>
                <w:b/>
                <w:bCs/>
                <w:color w:val="94553C"/>
                <w:sz w:val="32"/>
                <w:szCs w:val="32"/>
                <w:rtl/>
              </w:rPr>
              <w:t>تصميم وطباعة</w:t>
            </w:r>
            <w:r w:rsidRPr="003B070C">
              <w:rPr>
                <w:rFonts w:ascii="Adobe Arabic" w:eastAsia="Times New Roman" w:hAnsi="Adobe Arabic" w:cs="Adobe Arabic"/>
                <w:b/>
                <w:bCs/>
                <w:color w:val="94553C"/>
                <w:sz w:val="32"/>
                <w:szCs w:val="32"/>
              </w:rPr>
              <w:t>:</w:t>
            </w:r>
          </w:p>
        </w:tc>
        <w:tc>
          <w:tcPr>
            <w:tcW w:w="0" w:type="auto"/>
            <w:vAlign w:val="center"/>
            <w:hideMark/>
          </w:tcPr>
          <w:p w:rsidR="003B070C" w:rsidRPr="007E5C0E" w:rsidRDefault="003B070C" w:rsidP="003B070C">
            <w:pPr>
              <w:bidi/>
              <w:spacing w:before="100" w:beforeAutospacing="1" w:after="100" w:afterAutospacing="1" w:line="240" w:lineRule="auto"/>
              <w:jc w:val="both"/>
              <w:rPr>
                <w:rFonts w:ascii="Adobe Arabic" w:eastAsia="Times New Roman" w:hAnsi="Adobe Arabic" w:cs="Adobe Arabic"/>
                <w:sz w:val="32"/>
                <w:szCs w:val="32"/>
                <w:rtl/>
                <w:lang w:bidi="ar-LB"/>
              </w:rPr>
            </w:pPr>
            <w:r>
              <w:rPr>
                <w:rFonts w:ascii="Adobe Arabic" w:eastAsia="Times New Roman" w:hAnsi="Adobe Arabic" w:cs="Adobe Arabic"/>
                <w:sz w:val="32"/>
                <w:szCs w:val="32"/>
              </w:rPr>
              <w:t>DBOUK</w:t>
            </w:r>
          </w:p>
        </w:tc>
      </w:tr>
      <w:tr w:rsidR="003B070C" w:rsidRPr="007E5C0E" w:rsidTr="003B070C">
        <w:trPr>
          <w:tblCellSpacing w:w="15" w:type="dxa"/>
        </w:trPr>
        <w:tc>
          <w:tcPr>
            <w:tcW w:w="0" w:type="auto"/>
            <w:gridSpan w:val="2"/>
            <w:vAlign w:val="center"/>
            <w:hideMark/>
          </w:tcPr>
          <w:p w:rsidR="003B070C" w:rsidRPr="003B070C" w:rsidRDefault="003B070C" w:rsidP="003B070C">
            <w:pPr>
              <w:bidi/>
              <w:spacing w:before="100" w:beforeAutospacing="1" w:after="100" w:afterAutospacing="1" w:line="240" w:lineRule="auto"/>
              <w:jc w:val="center"/>
              <w:rPr>
                <w:rFonts w:ascii="Adobe Arabic" w:eastAsia="Times New Roman" w:hAnsi="Adobe Arabic" w:cs="Adobe Arabic"/>
                <w:b/>
                <w:bCs/>
                <w:sz w:val="32"/>
                <w:szCs w:val="32"/>
              </w:rPr>
            </w:pPr>
            <w:r w:rsidRPr="003B070C">
              <w:rPr>
                <w:rFonts w:ascii="Adobe Arabic" w:eastAsia="Times New Roman" w:hAnsi="Adobe Arabic" w:cs="Adobe Arabic"/>
                <w:b/>
                <w:bCs/>
                <w:sz w:val="32"/>
                <w:szCs w:val="32"/>
                <w:rtl/>
              </w:rPr>
              <w:t>الطبعة الأولى</w:t>
            </w:r>
            <w:r w:rsidRPr="003B070C">
              <w:rPr>
                <w:rFonts w:ascii="Adobe Arabic" w:eastAsia="Times New Roman" w:hAnsi="Adobe Arabic" w:cs="Adobe Arabic"/>
                <w:b/>
                <w:bCs/>
                <w:sz w:val="32"/>
                <w:szCs w:val="32"/>
              </w:rPr>
              <w:t xml:space="preserve"> - 2023</w:t>
            </w:r>
            <w:r w:rsidRPr="003B070C">
              <w:rPr>
                <w:rFonts w:ascii="Adobe Arabic" w:eastAsia="Times New Roman" w:hAnsi="Adobe Arabic" w:cs="Adobe Arabic"/>
                <w:b/>
                <w:bCs/>
                <w:sz w:val="32"/>
                <w:szCs w:val="32"/>
                <w:rtl/>
              </w:rPr>
              <w:t>م</w:t>
            </w:r>
          </w:p>
        </w:tc>
      </w:tr>
      <w:tr w:rsidR="003B070C" w:rsidRPr="007E5C0E" w:rsidTr="003B070C">
        <w:trPr>
          <w:tblCellSpacing w:w="15" w:type="dxa"/>
        </w:trPr>
        <w:tc>
          <w:tcPr>
            <w:tcW w:w="0" w:type="auto"/>
            <w:gridSpan w:val="2"/>
            <w:vAlign w:val="center"/>
            <w:hideMark/>
          </w:tcPr>
          <w:p w:rsidR="003B070C" w:rsidRPr="003B070C" w:rsidRDefault="003B070C" w:rsidP="003B070C">
            <w:pPr>
              <w:spacing w:before="100" w:beforeAutospacing="1" w:after="100" w:afterAutospacing="1" w:line="240" w:lineRule="auto"/>
              <w:jc w:val="center"/>
              <w:rPr>
                <w:rFonts w:ascii="Adobe Arabic" w:eastAsia="Times New Roman" w:hAnsi="Adobe Arabic" w:cs="Adobe Arabic"/>
                <w:b/>
                <w:bCs/>
                <w:sz w:val="32"/>
                <w:szCs w:val="32"/>
              </w:rPr>
            </w:pPr>
            <w:r w:rsidRPr="003B070C">
              <w:rPr>
                <w:rFonts w:ascii="Adobe Arabic" w:eastAsia="Times New Roman" w:hAnsi="Adobe Arabic" w:cs="Adobe Arabic"/>
                <w:b/>
                <w:bCs/>
                <w:sz w:val="32"/>
                <w:szCs w:val="32"/>
              </w:rPr>
              <w:t>ISBN 978-614-467-327-0</w:t>
            </w:r>
          </w:p>
        </w:tc>
      </w:tr>
      <w:tr w:rsidR="003B070C" w:rsidRPr="007E5C0E" w:rsidTr="003B070C">
        <w:trPr>
          <w:tblCellSpacing w:w="15" w:type="dxa"/>
        </w:trPr>
        <w:tc>
          <w:tcPr>
            <w:tcW w:w="0" w:type="auto"/>
            <w:gridSpan w:val="2"/>
            <w:vAlign w:val="center"/>
            <w:hideMark/>
          </w:tcPr>
          <w:p w:rsidR="003B070C" w:rsidRPr="003B070C" w:rsidRDefault="008313D9" w:rsidP="008313D9">
            <w:pPr>
              <w:spacing w:before="100" w:beforeAutospacing="1" w:after="100" w:afterAutospacing="1" w:line="240" w:lineRule="auto"/>
              <w:jc w:val="center"/>
              <w:rPr>
                <w:rFonts w:ascii="Adobe Arabic" w:eastAsia="Times New Roman" w:hAnsi="Adobe Arabic" w:cs="Adobe Arabic"/>
                <w:b/>
                <w:bCs/>
                <w:sz w:val="32"/>
                <w:szCs w:val="32"/>
              </w:rPr>
            </w:pPr>
            <w:hyperlink r:id="rId7" w:history="1">
              <w:r w:rsidRPr="00885BDE">
                <w:rPr>
                  <w:rStyle w:val="Hyperlink"/>
                  <w:rFonts w:ascii="Adobe Arabic" w:eastAsia="Times New Roman" w:hAnsi="Adobe Arabic" w:cs="Adobe Arabic"/>
                  <w:b/>
                  <w:bCs/>
                  <w:sz w:val="32"/>
                  <w:szCs w:val="32"/>
                </w:rPr>
                <w:t>books@almaaref.org.lb</w:t>
              </w:r>
            </w:hyperlink>
          </w:p>
          <w:p w:rsidR="003B070C" w:rsidRPr="003B070C" w:rsidRDefault="003B070C" w:rsidP="003B070C">
            <w:pPr>
              <w:spacing w:before="100" w:beforeAutospacing="1" w:after="100" w:afterAutospacing="1" w:line="240" w:lineRule="auto"/>
              <w:jc w:val="center"/>
              <w:rPr>
                <w:rFonts w:ascii="Adobe Arabic" w:eastAsia="Times New Roman" w:hAnsi="Adobe Arabic" w:cs="Adobe Arabic"/>
                <w:b/>
                <w:bCs/>
                <w:sz w:val="32"/>
                <w:szCs w:val="32"/>
              </w:rPr>
            </w:pPr>
            <w:r w:rsidRPr="003B070C">
              <w:rPr>
                <w:rFonts w:ascii="Adobe Arabic" w:eastAsia="Times New Roman" w:hAnsi="Adobe Arabic" w:cs="Adobe Arabic"/>
                <w:b/>
                <w:bCs/>
                <w:sz w:val="32"/>
                <w:szCs w:val="32"/>
              </w:rPr>
              <w:t>00961 01 467 547</w:t>
            </w:r>
          </w:p>
          <w:p w:rsidR="003B070C" w:rsidRPr="003B070C" w:rsidRDefault="003B070C" w:rsidP="003B070C">
            <w:pPr>
              <w:spacing w:before="100" w:beforeAutospacing="1" w:after="100" w:afterAutospacing="1" w:line="240" w:lineRule="auto"/>
              <w:jc w:val="center"/>
              <w:rPr>
                <w:rFonts w:ascii="Adobe Arabic" w:eastAsia="Times New Roman" w:hAnsi="Adobe Arabic" w:cs="Adobe Arabic"/>
                <w:b/>
                <w:bCs/>
                <w:sz w:val="32"/>
                <w:szCs w:val="32"/>
              </w:rPr>
            </w:pPr>
            <w:r w:rsidRPr="003B070C">
              <w:rPr>
                <w:rFonts w:ascii="Adobe Arabic" w:eastAsia="Times New Roman" w:hAnsi="Adobe Arabic" w:cs="Adobe Arabic"/>
                <w:b/>
                <w:bCs/>
                <w:sz w:val="32"/>
                <w:szCs w:val="32"/>
              </w:rPr>
              <w:t>00961 76 960 347</w:t>
            </w:r>
          </w:p>
        </w:tc>
      </w:tr>
    </w:tbl>
    <w:p w:rsidR="003B070C" w:rsidRDefault="003B07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B070C" w:rsidRDefault="003B070C" w:rsidP="003B070C">
      <w:pPr>
        <w:bidi/>
        <w:jc w:val="center"/>
        <w:rPr>
          <w:rFonts w:ascii="Adobe Arabic" w:eastAsia="Times New Roman" w:hAnsi="Adobe Arabic" w:cs="Adobe Arabic"/>
          <w:b/>
          <w:bCs/>
          <w:color w:val="000000" w:themeColor="text1"/>
          <w:sz w:val="72"/>
          <w:szCs w:val="72"/>
          <w:rtl/>
        </w:rPr>
      </w:pPr>
    </w:p>
    <w:p w:rsidR="003B070C" w:rsidRDefault="003B070C" w:rsidP="003B070C">
      <w:pPr>
        <w:bidi/>
        <w:jc w:val="center"/>
        <w:rPr>
          <w:rFonts w:ascii="Adobe Arabic" w:eastAsia="Times New Roman" w:hAnsi="Adobe Arabic" w:cs="Adobe Arabic"/>
          <w:b/>
          <w:bCs/>
          <w:color w:val="000000" w:themeColor="text1"/>
          <w:sz w:val="72"/>
          <w:szCs w:val="72"/>
          <w:rtl/>
        </w:rPr>
      </w:pPr>
    </w:p>
    <w:p w:rsidR="003B070C" w:rsidRDefault="003B070C" w:rsidP="003B070C">
      <w:pPr>
        <w:bidi/>
        <w:jc w:val="center"/>
        <w:rPr>
          <w:rFonts w:ascii="Adobe Arabic" w:eastAsia="Times New Roman" w:hAnsi="Adobe Arabic" w:cs="Adobe Arabic"/>
          <w:b/>
          <w:bCs/>
          <w:color w:val="000000" w:themeColor="text1"/>
          <w:sz w:val="72"/>
          <w:szCs w:val="72"/>
          <w:rtl/>
        </w:rPr>
      </w:pPr>
    </w:p>
    <w:p w:rsidR="003B070C" w:rsidRDefault="003B070C" w:rsidP="003B070C">
      <w:pPr>
        <w:bidi/>
        <w:jc w:val="center"/>
        <w:rPr>
          <w:rFonts w:ascii="Adobe Arabic" w:eastAsia="Times New Roman" w:hAnsi="Adobe Arabic" w:cs="Adobe Arabic"/>
          <w:b/>
          <w:bCs/>
          <w:color w:val="000000" w:themeColor="text1"/>
          <w:sz w:val="72"/>
          <w:szCs w:val="72"/>
          <w:rtl/>
        </w:rPr>
      </w:pPr>
    </w:p>
    <w:p w:rsidR="003B070C" w:rsidRDefault="003B070C" w:rsidP="003B070C">
      <w:pPr>
        <w:bidi/>
        <w:jc w:val="center"/>
        <w:rPr>
          <w:rFonts w:ascii="Adobe Arabic" w:eastAsia="Times New Roman" w:hAnsi="Adobe Arabic" w:cs="Adobe Arabic"/>
          <w:b/>
          <w:bCs/>
          <w:color w:val="000000" w:themeColor="text1"/>
          <w:sz w:val="72"/>
          <w:szCs w:val="72"/>
          <w:rtl/>
        </w:rPr>
      </w:pPr>
    </w:p>
    <w:p w:rsidR="003B070C" w:rsidRPr="0089631B" w:rsidRDefault="003B070C" w:rsidP="003B070C">
      <w:pPr>
        <w:bidi/>
        <w:jc w:val="center"/>
        <w:rPr>
          <w:rFonts w:ascii="Adobe Arabic" w:eastAsia="Times New Roman" w:hAnsi="Adobe Arabic" w:cs="Adobe Arabic"/>
          <w:b/>
          <w:bCs/>
          <w:color w:val="000000" w:themeColor="text1"/>
          <w:sz w:val="96"/>
          <w:szCs w:val="96"/>
          <w:rtl/>
        </w:rPr>
      </w:pPr>
      <w:r w:rsidRPr="0089631B">
        <w:rPr>
          <w:rFonts w:ascii="Adobe Arabic" w:eastAsia="Times New Roman" w:hAnsi="Adobe Arabic" w:cs="Adobe Arabic" w:hint="cs"/>
          <w:b/>
          <w:bCs/>
          <w:color w:val="000000" w:themeColor="text1"/>
          <w:sz w:val="72"/>
          <w:szCs w:val="72"/>
          <w:rtl/>
        </w:rPr>
        <w:t>سلسلة الفقه الموضوعي</w:t>
      </w:r>
    </w:p>
    <w:p w:rsidR="003B070C" w:rsidRDefault="003B070C" w:rsidP="003B070C">
      <w:pPr>
        <w:bidi/>
        <w:jc w:val="center"/>
        <w:rPr>
          <w:rFonts w:ascii="Adobe Arabic" w:eastAsia="Times New Roman" w:hAnsi="Adobe Arabic" w:cs="Adobe Arabic"/>
          <w:color w:val="000000"/>
          <w:sz w:val="32"/>
          <w:szCs w:val="32"/>
          <w:rtl/>
        </w:rPr>
      </w:pPr>
      <w:r w:rsidRPr="0089631B">
        <w:rPr>
          <w:rFonts w:ascii="Adobe Arabic" w:eastAsia="Times New Roman" w:hAnsi="Adobe Arabic" w:cs="Adobe Arabic"/>
          <w:b/>
          <w:bCs/>
          <w:color w:val="000000" w:themeColor="text1"/>
          <w:sz w:val="96"/>
          <w:szCs w:val="96"/>
          <w:rtl/>
        </w:rPr>
        <w:t>فقه المحا</w:t>
      </w:r>
      <w:r>
        <w:rPr>
          <w:rFonts w:ascii="Adobe Arabic" w:eastAsia="Times New Roman" w:hAnsi="Adobe Arabic" w:cs="Adobe Arabic" w:hint="cs"/>
          <w:b/>
          <w:bCs/>
          <w:color w:val="000000" w:themeColor="text1"/>
          <w:sz w:val="96"/>
          <w:szCs w:val="96"/>
          <w:rtl/>
        </w:rPr>
        <w:t>ما</w:t>
      </w:r>
      <w:r w:rsidRPr="0089631B">
        <w:rPr>
          <w:rFonts w:ascii="Adobe Arabic" w:eastAsia="Times New Roman" w:hAnsi="Adobe Arabic" w:cs="Adobe Arabic"/>
          <w:b/>
          <w:bCs/>
          <w:color w:val="000000" w:themeColor="text1"/>
          <w:sz w:val="96"/>
          <w:szCs w:val="96"/>
          <w:rtl/>
        </w:rPr>
        <w:t>ة</w:t>
      </w:r>
    </w:p>
    <w:p w:rsidR="003B070C" w:rsidRDefault="003B07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24673" w:rsidRDefault="003B07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Fonts w:asciiTheme="minorHAnsi" w:eastAsiaTheme="minorHAnsi" w:hAnsiTheme="minorHAnsi" w:cstheme="minorBidi"/>
          <w:color w:val="auto"/>
          <w:sz w:val="22"/>
          <w:szCs w:val="22"/>
          <w:rtl/>
        </w:rPr>
        <w:id w:val="488136227"/>
        <w:docPartObj>
          <w:docPartGallery w:val="Table of Contents"/>
          <w:docPartUnique/>
        </w:docPartObj>
      </w:sdtPr>
      <w:sdtEndPr>
        <w:rPr>
          <w:rFonts w:ascii="Adobe Arabic" w:hAnsi="Adobe Arabic" w:cs="Adobe Arabic"/>
          <w:b/>
          <w:bCs/>
          <w:noProof/>
        </w:rPr>
      </w:sdtEndPr>
      <w:sdtContent>
        <w:p w:rsidR="00724673" w:rsidRPr="00724673" w:rsidRDefault="00724673" w:rsidP="00724673">
          <w:pPr>
            <w:pStyle w:val="TOCHeading"/>
            <w:bidi/>
            <w:jc w:val="center"/>
            <w:rPr>
              <w:rFonts w:ascii="Adobe Arabic" w:hAnsi="Adobe Arabic" w:cs="Adobe Arabic"/>
              <w:b/>
              <w:bCs/>
              <w:color w:val="94553C"/>
              <w:sz w:val="40"/>
              <w:szCs w:val="40"/>
            </w:rPr>
          </w:pPr>
          <w:r w:rsidRPr="00724673">
            <w:rPr>
              <w:rFonts w:ascii="Adobe Arabic" w:hAnsi="Adobe Arabic" w:cs="Adobe Arabic"/>
              <w:b/>
              <w:bCs/>
              <w:color w:val="94553C"/>
              <w:sz w:val="40"/>
              <w:szCs w:val="40"/>
              <w:rtl/>
            </w:rPr>
            <w:t>الفهرس</w:t>
          </w:r>
        </w:p>
        <w:p w:rsidR="00724673" w:rsidRPr="00724673" w:rsidRDefault="00724673" w:rsidP="00724673">
          <w:pPr>
            <w:pStyle w:val="TOC1"/>
          </w:pPr>
          <w:r w:rsidRPr="00724673">
            <w:rPr>
              <w:noProof w:val="0"/>
            </w:rPr>
            <w:fldChar w:fldCharType="begin"/>
          </w:r>
          <w:r w:rsidRPr="00724673">
            <w:instrText xml:space="preserve"> TOC \o "1-3" \h \z \u </w:instrText>
          </w:r>
          <w:r w:rsidRPr="00724673">
            <w:rPr>
              <w:noProof w:val="0"/>
            </w:rPr>
            <w:fldChar w:fldCharType="separate"/>
          </w:r>
          <w:hyperlink w:anchor="_Toc143687940" w:history="1">
            <w:r w:rsidRPr="00724673">
              <w:rPr>
                <w:rStyle w:val="Hyperlink"/>
                <w:color w:val="94553C"/>
                <w:rtl/>
              </w:rPr>
              <w:t>المقدّمة</w:t>
            </w:r>
            <w:r w:rsidRPr="00724673">
              <w:rPr>
                <w:webHidden/>
              </w:rPr>
              <w:tab/>
            </w:r>
            <w:r w:rsidRPr="00724673">
              <w:rPr>
                <w:webHidden/>
              </w:rPr>
              <w:fldChar w:fldCharType="begin"/>
            </w:r>
            <w:r w:rsidRPr="00724673">
              <w:rPr>
                <w:webHidden/>
              </w:rPr>
              <w:instrText xml:space="preserve"> PAGEREF _Toc143687940 \h </w:instrText>
            </w:r>
            <w:r w:rsidRPr="00724673">
              <w:rPr>
                <w:webHidden/>
              </w:rPr>
            </w:r>
            <w:r w:rsidRPr="00724673">
              <w:rPr>
                <w:webHidden/>
              </w:rPr>
              <w:fldChar w:fldCharType="separate"/>
            </w:r>
            <w:r w:rsidR="00181810">
              <w:rPr>
                <w:webHidden/>
                <w:rtl/>
              </w:rPr>
              <w:t>7</w:t>
            </w:r>
            <w:r w:rsidRPr="00724673">
              <w:rPr>
                <w:webHidden/>
              </w:rPr>
              <w:fldChar w:fldCharType="end"/>
            </w:r>
          </w:hyperlink>
        </w:p>
        <w:p w:rsidR="00724673" w:rsidRPr="00724673" w:rsidRDefault="00EE46C4" w:rsidP="00724673">
          <w:pPr>
            <w:pStyle w:val="TOC1"/>
          </w:pPr>
          <w:hyperlink w:anchor="_Toc143687941" w:history="1">
            <w:r w:rsidR="00724673" w:rsidRPr="00724673">
              <w:rPr>
                <w:rStyle w:val="Hyperlink"/>
                <w:rtl/>
              </w:rPr>
              <w:t>آداب المِهن والمعاملات</w:t>
            </w:r>
            <w:r w:rsidR="00724673" w:rsidRPr="00724673">
              <w:rPr>
                <w:webHidden/>
              </w:rPr>
              <w:tab/>
            </w:r>
            <w:r w:rsidR="00724673" w:rsidRPr="00724673">
              <w:rPr>
                <w:webHidden/>
              </w:rPr>
              <w:fldChar w:fldCharType="begin"/>
            </w:r>
            <w:r w:rsidR="00724673" w:rsidRPr="00724673">
              <w:rPr>
                <w:webHidden/>
              </w:rPr>
              <w:instrText xml:space="preserve"> PAGEREF _Toc143687941 \h </w:instrText>
            </w:r>
            <w:r w:rsidR="00724673" w:rsidRPr="00724673">
              <w:rPr>
                <w:webHidden/>
              </w:rPr>
            </w:r>
            <w:r w:rsidR="00724673" w:rsidRPr="00724673">
              <w:rPr>
                <w:webHidden/>
              </w:rPr>
              <w:fldChar w:fldCharType="separate"/>
            </w:r>
            <w:r w:rsidR="00181810">
              <w:rPr>
                <w:webHidden/>
                <w:rtl/>
              </w:rPr>
              <w:t>9</w:t>
            </w:r>
            <w:r w:rsidR="00724673" w:rsidRPr="00724673">
              <w:rPr>
                <w:webHidden/>
              </w:rPr>
              <w:fldChar w:fldCharType="end"/>
            </w:r>
          </w:hyperlink>
        </w:p>
        <w:p w:rsidR="00724673" w:rsidRPr="00724673" w:rsidRDefault="00EE46C4" w:rsidP="00724673">
          <w:pPr>
            <w:pStyle w:val="TOC2"/>
          </w:pPr>
          <w:hyperlink w:anchor="_Toc143687942" w:history="1">
            <w:r w:rsidR="00724673" w:rsidRPr="00724673">
              <w:rPr>
                <w:rStyle w:val="Hyperlink"/>
                <w:color w:val="323E4F" w:themeColor="text2" w:themeShade="BF"/>
                <w:rtl/>
              </w:rPr>
              <w:t>أوّلاً: في طلب الرّزق والمال الحلال</w:t>
            </w:r>
            <w:r w:rsidR="00724673" w:rsidRPr="00724673">
              <w:rPr>
                <w:webHidden/>
              </w:rPr>
              <w:tab/>
            </w:r>
            <w:r w:rsidR="00724673" w:rsidRPr="00724673">
              <w:rPr>
                <w:webHidden/>
              </w:rPr>
              <w:fldChar w:fldCharType="begin"/>
            </w:r>
            <w:r w:rsidR="00724673" w:rsidRPr="00724673">
              <w:rPr>
                <w:webHidden/>
              </w:rPr>
              <w:instrText xml:space="preserve"> PAGEREF _Toc143687942 \h </w:instrText>
            </w:r>
            <w:r w:rsidR="00724673" w:rsidRPr="00724673">
              <w:rPr>
                <w:webHidden/>
              </w:rPr>
            </w:r>
            <w:r w:rsidR="00724673" w:rsidRPr="00724673">
              <w:rPr>
                <w:webHidden/>
              </w:rPr>
              <w:fldChar w:fldCharType="separate"/>
            </w:r>
            <w:r w:rsidR="00181810">
              <w:rPr>
                <w:webHidden/>
                <w:rtl/>
              </w:rPr>
              <w:t>9</w:t>
            </w:r>
            <w:r w:rsidR="00724673" w:rsidRPr="00724673">
              <w:rPr>
                <w:webHidden/>
              </w:rPr>
              <w:fldChar w:fldCharType="end"/>
            </w:r>
          </w:hyperlink>
        </w:p>
        <w:p w:rsidR="00724673" w:rsidRPr="00724673" w:rsidRDefault="00EE46C4" w:rsidP="00724673">
          <w:pPr>
            <w:pStyle w:val="TOC2"/>
          </w:pPr>
          <w:hyperlink w:anchor="_Toc143687943" w:history="1">
            <w:r w:rsidR="00724673" w:rsidRPr="00724673">
              <w:rPr>
                <w:rStyle w:val="Hyperlink"/>
                <w:color w:val="323E4F" w:themeColor="text2" w:themeShade="BF"/>
                <w:rtl/>
              </w:rPr>
              <w:t>ثانياً: في الصفات الأخلاقيّة</w:t>
            </w:r>
            <w:r w:rsidR="00724673" w:rsidRPr="00724673">
              <w:rPr>
                <w:webHidden/>
              </w:rPr>
              <w:tab/>
            </w:r>
            <w:r w:rsidR="00724673" w:rsidRPr="00724673">
              <w:rPr>
                <w:webHidden/>
              </w:rPr>
              <w:fldChar w:fldCharType="begin"/>
            </w:r>
            <w:r w:rsidR="00724673" w:rsidRPr="00724673">
              <w:rPr>
                <w:webHidden/>
              </w:rPr>
              <w:instrText xml:space="preserve"> PAGEREF _Toc143687943 \h </w:instrText>
            </w:r>
            <w:r w:rsidR="00724673" w:rsidRPr="00724673">
              <w:rPr>
                <w:webHidden/>
              </w:rPr>
            </w:r>
            <w:r w:rsidR="00724673" w:rsidRPr="00724673">
              <w:rPr>
                <w:webHidden/>
              </w:rPr>
              <w:fldChar w:fldCharType="separate"/>
            </w:r>
            <w:r w:rsidR="00181810">
              <w:rPr>
                <w:webHidden/>
                <w:rtl/>
              </w:rPr>
              <w:t>14</w:t>
            </w:r>
            <w:r w:rsidR="00724673" w:rsidRPr="00724673">
              <w:rPr>
                <w:webHidden/>
              </w:rPr>
              <w:fldChar w:fldCharType="end"/>
            </w:r>
          </w:hyperlink>
        </w:p>
        <w:p w:rsidR="00724673" w:rsidRPr="00724673" w:rsidRDefault="00EE46C4" w:rsidP="00724673">
          <w:pPr>
            <w:pStyle w:val="TOC2"/>
          </w:pPr>
          <w:hyperlink w:anchor="_Toc143687944" w:history="1">
            <w:r w:rsidR="00724673" w:rsidRPr="00724673">
              <w:rPr>
                <w:rStyle w:val="Hyperlink"/>
                <w:color w:val="323E4F" w:themeColor="text2" w:themeShade="BF"/>
                <w:rtl/>
              </w:rPr>
              <w:t>ثالثاً: في التعامل مع الناس</w:t>
            </w:r>
            <w:r w:rsidR="00724673" w:rsidRPr="00724673">
              <w:rPr>
                <w:webHidden/>
              </w:rPr>
              <w:tab/>
            </w:r>
            <w:r w:rsidR="00724673" w:rsidRPr="00724673">
              <w:rPr>
                <w:webHidden/>
              </w:rPr>
              <w:fldChar w:fldCharType="begin"/>
            </w:r>
            <w:r w:rsidR="00724673" w:rsidRPr="00724673">
              <w:rPr>
                <w:webHidden/>
              </w:rPr>
              <w:instrText xml:space="preserve"> PAGEREF _Toc143687944 \h </w:instrText>
            </w:r>
            <w:r w:rsidR="00724673" w:rsidRPr="00724673">
              <w:rPr>
                <w:webHidden/>
              </w:rPr>
            </w:r>
            <w:r w:rsidR="00724673" w:rsidRPr="00724673">
              <w:rPr>
                <w:webHidden/>
              </w:rPr>
              <w:fldChar w:fldCharType="separate"/>
            </w:r>
            <w:r w:rsidR="00181810">
              <w:rPr>
                <w:webHidden/>
                <w:rtl/>
              </w:rPr>
              <w:t>16</w:t>
            </w:r>
            <w:r w:rsidR="00724673" w:rsidRPr="00724673">
              <w:rPr>
                <w:webHidden/>
              </w:rPr>
              <w:fldChar w:fldCharType="end"/>
            </w:r>
          </w:hyperlink>
        </w:p>
        <w:p w:rsidR="00724673" w:rsidRPr="00724673" w:rsidRDefault="00EE46C4" w:rsidP="00724673">
          <w:pPr>
            <w:pStyle w:val="TOC2"/>
          </w:pPr>
          <w:hyperlink w:anchor="_Toc143687945" w:history="1">
            <w:r w:rsidR="00724673" w:rsidRPr="00724673">
              <w:rPr>
                <w:rStyle w:val="Hyperlink"/>
                <w:color w:val="323E4F" w:themeColor="text2" w:themeShade="BF"/>
                <w:rtl/>
              </w:rPr>
              <w:t>رابعاً: في الإقراض والدين</w:t>
            </w:r>
            <w:r w:rsidR="00724673" w:rsidRPr="00724673">
              <w:rPr>
                <w:webHidden/>
              </w:rPr>
              <w:tab/>
            </w:r>
            <w:r w:rsidR="00724673" w:rsidRPr="00724673">
              <w:rPr>
                <w:webHidden/>
              </w:rPr>
              <w:fldChar w:fldCharType="begin"/>
            </w:r>
            <w:r w:rsidR="00724673" w:rsidRPr="00724673">
              <w:rPr>
                <w:webHidden/>
              </w:rPr>
              <w:instrText xml:space="preserve"> PAGEREF _Toc143687945 \h </w:instrText>
            </w:r>
            <w:r w:rsidR="00724673" w:rsidRPr="00724673">
              <w:rPr>
                <w:webHidden/>
              </w:rPr>
            </w:r>
            <w:r w:rsidR="00724673" w:rsidRPr="00724673">
              <w:rPr>
                <w:webHidden/>
              </w:rPr>
              <w:fldChar w:fldCharType="separate"/>
            </w:r>
            <w:r w:rsidR="00181810">
              <w:rPr>
                <w:webHidden/>
                <w:rtl/>
              </w:rPr>
              <w:t>16</w:t>
            </w:r>
            <w:r w:rsidR="00724673" w:rsidRPr="00724673">
              <w:rPr>
                <w:webHidden/>
              </w:rPr>
              <w:fldChar w:fldCharType="end"/>
            </w:r>
          </w:hyperlink>
        </w:p>
        <w:p w:rsidR="00724673" w:rsidRPr="00724673" w:rsidRDefault="00EE46C4" w:rsidP="00724673">
          <w:pPr>
            <w:pStyle w:val="TOC1"/>
          </w:pPr>
          <w:hyperlink w:anchor="_Toc143687946" w:history="1">
            <w:r w:rsidR="00724673" w:rsidRPr="00724673">
              <w:rPr>
                <w:rStyle w:val="Hyperlink"/>
                <w:rtl/>
              </w:rPr>
              <w:t>فقه المحاماة</w:t>
            </w:r>
            <w:r w:rsidR="00724673" w:rsidRPr="00724673">
              <w:rPr>
                <w:webHidden/>
              </w:rPr>
              <w:tab/>
            </w:r>
            <w:r w:rsidR="00724673" w:rsidRPr="00724673">
              <w:rPr>
                <w:webHidden/>
              </w:rPr>
              <w:fldChar w:fldCharType="begin"/>
            </w:r>
            <w:r w:rsidR="00724673" w:rsidRPr="00724673">
              <w:rPr>
                <w:webHidden/>
              </w:rPr>
              <w:instrText xml:space="preserve"> PAGEREF _Toc143687946 \h </w:instrText>
            </w:r>
            <w:r w:rsidR="00724673" w:rsidRPr="00724673">
              <w:rPr>
                <w:webHidden/>
              </w:rPr>
            </w:r>
            <w:r w:rsidR="00724673" w:rsidRPr="00724673">
              <w:rPr>
                <w:webHidden/>
              </w:rPr>
              <w:fldChar w:fldCharType="separate"/>
            </w:r>
            <w:r w:rsidR="00181810">
              <w:rPr>
                <w:webHidden/>
                <w:rtl/>
              </w:rPr>
              <w:t>19</w:t>
            </w:r>
            <w:r w:rsidR="00724673" w:rsidRPr="00724673">
              <w:rPr>
                <w:webHidden/>
              </w:rPr>
              <w:fldChar w:fldCharType="end"/>
            </w:r>
          </w:hyperlink>
        </w:p>
        <w:p w:rsidR="00724673" w:rsidRPr="00724673" w:rsidRDefault="00EE46C4" w:rsidP="00724673">
          <w:pPr>
            <w:pStyle w:val="TOC1"/>
          </w:pPr>
          <w:hyperlink w:anchor="_Toc143687947" w:history="1">
            <w:r w:rsidR="00724673" w:rsidRPr="00724673">
              <w:rPr>
                <w:rStyle w:val="Hyperlink"/>
                <w:rtl/>
              </w:rPr>
              <w:t>مدخل</w:t>
            </w:r>
            <w:r w:rsidR="00724673" w:rsidRPr="00724673">
              <w:rPr>
                <w:webHidden/>
              </w:rPr>
              <w:tab/>
            </w:r>
            <w:r w:rsidR="00724673" w:rsidRPr="00724673">
              <w:rPr>
                <w:webHidden/>
              </w:rPr>
              <w:fldChar w:fldCharType="begin"/>
            </w:r>
            <w:r w:rsidR="00724673" w:rsidRPr="00724673">
              <w:rPr>
                <w:webHidden/>
              </w:rPr>
              <w:instrText xml:space="preserve"> PAGEREF _Toc143687947 \h </w:instrText>
            </w:r>
            <w:r w:rsidR="00724673" w:rsidRPr="00724673">
              <w:rPr>
                <w:webHidden/>
              </w:rPr>
            </w:r>
            <w:r w:rsidR="00724673" w:rsidRPr="00724673">
              <w:rPr>
                <w:webHidden/>
              </w:rPr>
              <w:fldChar w:fldCharType="separate"/>
            </w:r>
            <w:r w:rsidR="00181810">
              <w:rPr>
                <w:webHidden/>
                <w:rtl/>
              </w:rPr>
              <w:t>21</w:t>
            </w:r>
            <w:r w:rsidR="00724673" w:rsidRPr="00724673">
              <w:rPr>
                <w:webHidden/>
              </w:rPr>
              <w:fldChar w:fldCharType="end"/>
            </w:r>
          </w:hyperlink>
        </w:p>
        <w:p w:rsidR="00724673" w:rsidRPr="00724673" w:rsidRDefault="00EE46C4" w:rsidP="00724673">
          <w:pPr>
            <w:pStyle w:val="TOC1"/>
          </w:pPr>
          <w:hyperlink w:anchor="_Toc143687948" w:history="1">
            <w:r w:rsidR="00724673" w:rsidRPr="00724673">
              <w:rPr>
                <w:rStyle w:val="Hyperlink"/>
                <w:rtl/>
              </w:rPr>
              <w:t>الوكالة بالخصومة (المحاماة) وأحكامها</w:t>
            </w:r>
            <w:r w:rsidR="00724673" w:rsidRPr="00724673">
              <w:rPr>
                <w:webHidden/>
              </w:rPr>
              <w:tab/>
            </w:r>
            <w:r w:rsidR="00724673" w:rsidRPr="00724673">
              <w:rPr>
                <w:webHidden/>
              </w:rPr>
              <w:fldChar w:fldCharType="begin"/>
            </w:r>
            <w:r w:rsidR="00724673" w:rsidRPr="00724673">
              <w:rPr>
                <w:webHidden/>
              </w:rPr>
              <w:instrText xml:space="preserve"> PAGEREF _Toc143687948 \h </w:instrText>
            </w:r>
            <w:r w:rsidR="00724673" w:rsidRPr="00724673">
              <w:rPr>
                <w:webHidden/>
              </w:rPr>
            </w:r>
            <w:r w:rsidR="00724673" w:rsidRPr="00724673">
              <w:rPr>
                <w:webHidden/>
              </w:rPr>
              <w:fldChar w:fldCharType="separate"/>
            </w:r>
            <w:r w:rsidR="00181810">
              <w:rPr>
                <w:webHidden/>
                <w:rtl/>
              </w:rPr>
              <w:t>25</w:t>
            </w:r>
            <w:r w:rsidR="00724673" w:rsidRPr="00724673">
              <w:rPr>
                <w:webHidden/>
              </w:rPr>
              <w:fldChar w:fldCharType="end"/>
            </w:r>
          </w:hyperlink>
        </w:p>
        <w:p w:rsidR="00724673" w:rsidRPr="00724673" w:rsidRDefault="00EE46C4" w:rsidP="00724673">
          <w:pPr>
            <w:pStyle w:val="TOC2"/>
          </w:pPr>
          <w:hyperlink w:anchor="_Toc143687949" w:history="1">
            <w:r w:rsidR="00724673" w:rsidRPr="00724673">
              <w:rPr>
                <w:rStyle w:val="Hyperlink"/>
                <w:color w:val="323E4F" w:themeColor="text2" w:themeShade="BF"/>
                <w:rtl/>
              </w:rPr>
              <w:t>تعريف الوكالة ومشروعيّتها</w:t>
            </w:r>
            <w:r w:rsidR="00724673" w:rsidRPr="00724673">
              <w:rPr>
                <w:webHidden/>
              </w:rPr>
              <w:tab/>
            </w:r>
            <w:r w:rsidR="00724673" w:rsidRPr="00724673">
              <w:rPr>
                <w:webHidden/>
              </w:rPr>
              <w:fldChar w:fldCharType="begin"/>
            </w:r>
            <w:r w:rsidR="00724673" w:rsidRPr="00724673">
              <w:rPr>
                <w:webHidden/>
              </w:rPr>
              <w:instrText xml:space="preserve"> PAGEREF _Toc143687949 \h </w:instrText>
            </w:r>
            <w:r w:rsidR="00724673" w:rsidRPr="00724673">
              <w:rPr>
                <w:webHidden/>
              </w:rPr>
            </w:r>
            <w:r w:rsidR="00724673" w:rsidRPr="00724673">
              <w:rPr>
                <w:webHidden/>
              </w:rPr>
              <w:fldChar w:fldCharType="separate"/>
            </w:r>
            <w:r w:rsidR="00181810">
              <w:rPr>
                <w:webHidden/>
                <w:rtl/>
              </w:rPr>
              <w:t>25</w:t>
            </w:r>
            <w:r w:rsidR="00724673" w:rsidRPr="00724673">
              <w:rPr>
                <w:webHidden/>
              </w:rPr>
              <w:fldChar w:fldCharType="end"/>
            </w:r>
          </w:hyperlink>
        </w:p>
        <w:p w:rsidR="00724673" w:rsidRPr="00724673" w:rsidRDefault="00EE46C4" w:rsidP="00724673">
          <w:pPr>
            <w:pStyle w:val="TOC2"/>
          </w:pPr>
          <w:hyperlink w:anchor="_Toc143687950" w:history="1">
            <w:r w:rsidR="00724673" w:rsidRPr="00724673">
              <w:rPr>
                <w:rStyle w:val="Hyperlink"/>
                <w:color w:val="323E4F" w:themeColor="text2" w:themeShade="BF"/>
                <w:rtl/>
              </w:rPr>
              <w:t>الوكالة بوجه عامّ</w:t>
            </w:r>
            <w:r w:rsidR="00724673" w:rsidRPr="00724673">
              <w:rPr>
                <w:webHidden/>
              </w:rPr>
              <w:tab/>
            </w:r>
            <w:r w:rsidR="00724673" w:rsidRPr="00724673">
              <w:rPr>
                <w:webHidden/>
              </w:rPr>
              <w:fldChar w:fldCharType="begin"/>
            </w:r>
            <w:r w:rsidR="00724673" w:rsidRPr="00724673">
              <w:rPr>
                <w:webHidden/>
              </w:rPr>
              <w:instrText xml:space="preserve"> PAGEREF _Toc143687950 \h </w:instrText>
            </w:r>
            <w:r w:rsidR="00724673" w:rsidRPr="00724673">
              <w:rPr>
                <w:webHidden/>
              </w:rPr>
            </w:r>
            <w:r w:rsidR="00724673" w:rsidRPr="00724673">
              <w:rPr>
                <w:webHidden/>
              </w:rPr>
              <w:fldChar w:fldCharType="separate"/>
            </w:r>
            <w:r w:rsidR="00181810">
              <w:rPr>
                <w:webHidden/>
                <w:rtl/>
              </w:rPr>
              <w:t>25</w:t>
            </w:r>
            <w:r w:rsidR="00724673" w:rsidRPr="00724673">
              <w:rPr>
                <w:webHidden/>
              </w:rPr>
              <w:fldChar w:fldCharType="end"/>
            </w:r>
          </w:hyperlink>
        </w:p>
        <w:p w:rsidR="00724673" w:rsidRPr="00724673" w:rsidRDefault="00EE46C4" w:rsidP="00724673">
          <w:pPr>
            <w:pStyle w:val="TOC2"/>
          </w:pPr>
          <w:hyperlink w:anchor="_Toc143687951" w:history="1">
            <w:r w:rsidR="00724673" w:rsidRPr="00724673">
              <w:rPr>
                <w:rStyle w:val="Hyperlink"/>
                <w:color w:val="323E4F" w:themeColor="text2" w:themeShade="BF"/>
                <w:rtl/>
              </w:rPr>
              <w:t>الفرق بين الوكالة والنيابة (8).(9).(10)</w:t>
            </w:r>
            <w:r w:rsidR="00724673" w:rsidRPr="00724673">
              <w:rPr>
                <w:webHidden/>
              </w:rPr>
              <w:tab/>
            </w:r>
            <w:r w:rsidR="00724673" w:rsidRPr="00724673">
              <w:rPr>
                <w:webHidden/>
              </w:rPr>
              <w:fldChar w:fldCharType="begin"/>
            </w:r>
            <w:r w:rsidR="00724673" w:rsidRPr="00724673">
              <w:rPr>
                <w:webHidden/>
              </w:rPr>
              <w:instrText xml:space="preserve"> PAGEREF _Toc143687951 \h </w:instrText>
            </w:r>
            <w:r w:rsidR="00724673" w:rsidRPr="00724673">
              <w:rPr>
                <w:webHidden/>
              </w:rPr>
            </w:r>
            <w:r w:rsidR="00724673" w:rsidRPr="00724673">
              <w:rPr>
                <w:webHidden/>
              </w:rPr>
              <w:fldChar w:fldCharType="separate"/>
            </w:r>
            <w:r w:rsidR="00181810">
              <w:rPr>
                <w:webHidden/>
                <w:rtl/>
              </w:rPr>
              <w:t>26</w:t>
            </w:r>
            <w:r w:rsidR="00724673" w:rsidRPr="00724673">
              <w:rPr>
                <w:webHidden/>
              </w:rPr>
              <w:fldChar w:fldCharType="end"/>
            </w:r>
          </w:hyperlink>
        </w:p>
        <w:p w:rsidR="00724673" w:rsidRPr="00724673" w:rsidRDefault="00EE46C4" w:rsidP="00724673">
          <w:pPr>
            <w:pStyle w:val="TOC2"/>
          </w:pPr>
          <w:hyperlink w:anchor="_Toc143687952" w:history="1">
            <w:r w:rsidR="00724673" w:rsidRPr="00724673">
              <w:rPr>
                <w:rStyle w:val="Hyperlink"/>
                <w:color w:val="323E4F" w:themeColor="text2" w:themeShade="BF"/>
                <w:rtl/>
              </w:rPr>
              <w:t>شروط الوكالة</w:t>
            </w:r>
            <w:r w:rsidR="00724673" w:rsidRPr="00724673">
              <w:rPr>
                <w:webHidden/>
              </w:rPr>
              <w:tab/>
            </w:r>
            <w:r w:rsidR="00724673" w:rsidRPr="00724673">
              <w:rPr>
                <w:webHidden/>
              </w:rPr>
              <w:fldChar w:fldCharType="begin"/>
            </w:r>
            <w:r w:rsidR="00724673" w:rsidRPr="00724673">
              <w:rPr>
                <w:webHidden/>
              </w:rPr>
              <w:instrText xml:space="preserve"> PAGEREF _Toc143687952 \h </w:instrText>
            </w:r>
            <w:r w:rsidR="00724673" w:rsidRPr="00724673">
              <w:rPr>
                <w:webHidden/>
              </w:rPr>
            </w:r>
            <w:r w:rsidR="00724673" w:rsidRPr="00724673">
              <w:rPr>
                <w:webHidden/>
              </w:rPr>
              <w:fldChar w:fldCharType="separate"/>
            </w:r>
            <w:r w:rsidR="00181810">
              <w:rPr>
                <w:webHidden/>
                <w:rtl/>
              </w:rPr>
              <w:t>27</w:t>
            </w:r>
            <w:r w:rsidR="00724673" w:rsidRPr="00724673">
              <w:rPr>
                <w:webHidden/>
              </w:rPr>
              <w:fldChar w:fldCharType="end"/>
            </w:r>
          </w:hyperlink>
        </w:p>
        <w:p w:rsidR="00724673" w:rsidRPr="00724673" w:rsidRDefault="00EE46C4" w:rsidP="00724673">
          <w:pPr>
            <w:pStyle w:val="TOC2"/>
          </w:pPr>
          <w:hyperlink w:anchor="_Toc143687953" w:history="1">
            <w:r w:rsidR="00724673" w:rsidRPr="00724673">
              <w:rPr>
                <w:rStyle w:val="Hyperlink"/>
                <w:color w:val="323E4F" w:themeColor="text2" w:themeShade="BF"/>
                <w:rtl/>
              </w:rPr>
              <w:t>شروط الموكِّل</w:t>
            </w:r>
            <w:r w:rsidR="00724673" w:rsidRPr="00724673">
              <w:rPr>
                <w:webHidden/>
              </w:rPr>
              <w:tab/>
            </w:r>
            <w:r w:rsidR="00724673" w:rsidRPr="00724673">
              <w:rPr>
                <w:webHidden/>
              </w:rPr>
              <w:fldChar w:fldCharType="begin"/>
            </w:r>
            <w:r w:rsidR="00724673" w:rsidRPr="00724673">
              <w:rPr>
                <w:webHidden/>
              </w:rPr>
              <w:instrText xml:space="preserve"> PAGEREF _Toc143687953 \h </w:instrText>
            </w:r>
            <w:r w:rsidR="00724673" w:rsidRPr="00724673">
              <w:rPr>
                <w:webHidden/>
              </w:rPr>
            </w:r>
            <w:r w:rsidR="00724673" w:rsidRPr="00724673">
              <w:rPr>
                <w:webHidden/>
              </w:rPr>
              <w:fldChar w:fldCharType="separate"/>
            </w:r>
            <w:r w:rsidR="00181810">
              <w:rPr>
                <w:webHidden/>
                <w:rtl/>
              </w:rPr>
              <w:t>28</w:t>
            </w:r>
            <w:r w:rsidR="00724673" w:rsidRPr="00724673">
              <w:rPr>
                <w:webHidden/>
              </w:rPr>
              <w:fldChar w:fldCharType="end"/>
            </w:r>
          </w:hyperlink>
        </w:p>
        <w:p w:rsidR="00724673" w:rsidRPr="00724673" w:rsidRDefault="00EE46C4" w:rsidP="00724673">
          <w:pPr>
            <w:pStyle w:val="TOC2"/>
          </w:pPr>
          <w:hyperlink w:anchor="_Toc143687954" w:history="1">
            <w:r w:rsidR="00724673" w:rsidRPr="00724673">
              <w:rPr>
                <w:rStyle w:val="Hyperlink"/>
                <w:color w:val="323E4F" w:themeColor="text2" w:themeShade="BF"/>
                <w:rtl/>
              </w:rPr>
              <w:t>شروط الوكيل</w:t>
            </w:r>
            <w:r w:rsidR="00724673" w:rsidRPr="00724673">
              <w:rPr>
                <w:webHidden/>
              </w:rPr>
              <w:tab/>
            </w:r>
            <w:r w:rsidR="00724673" w:rsidRPr="00724673">
              <w:rPr>
                <w:webHidden/>
              </w:rPr>
              <w:fldChar w:fldCharType="begin"/>
            </w:r>
            <w:r w:rsidR="00724673" w:rsidRPr="00724673">
              <w:rPr>
                <w:webHidden/>
              </w:rPr>
              <w:instrText xml:space="preserve"> PAGEREF _Toc143687954 \h </w:instrText>
            </w:r>
            <w:r w:rsidR="00724673" w:rsidRPr="00724673">
              <w:rPr>
                <w:webHidden/>
              </w:rPr>
            </w:r>
            <w:r w:rsidR="00724673" w:rsidRPr="00724673">
              <w:rPr>
                <w:webHidden/>
              </w:rPr>
              <w:fldChar w:fldCharType="separate"/>
            </w:r>
            <w:r w:rsidR="00181810">
              <w:rPr>
                <w:webHidden/>
                <w:rtl/>
              </w:rPr>
              <w:t>29</w:t>
            </w:r>
            <w:r w:rsidR="00724673" w:rsidRPr="00724673">
              <w:rPr>
                <w:webHidden/>
              </w:rPr>
              <w:fldChar w:fldCharType="end"/>
            </w:r>
          </w:hyperlink>
        </w:p>
        <w:p w:rsidR="00724673" w:rsidRDefault="00724673">
          <w:pPr>
            <w:rPr>
              <w:rStyle w:val="Hyperlink"/>
              <w:rFonts w:ascii="Adobe Arabic" w:eastAsia="Times New Roman" w:hAnsi="Adobe Arabic" w:cs="Adobe Arabic"/>
              <w:b/>
              <w:bCs/>
              <w:noProof/>
              <w:color w:val="323E4F" w:themeColor="text2" w:themeShade="BF"/>
              <w:sz w:val="32"/>
              <w:szCs w:val="32"/>
            </w:rPr>
          </w:pPr>
          <w:r>
            <w:rPr>
              <w:rStyle w:val="Hyperlink"/>
              <w:noProof/>
              <w:color w:val="44546A" w:themeColor="text2"/>
            </w:rPr>
            <w:br w:type="page"/>
          </w:r>
        </w:p>
        <w:p w:rsidR="00724673" w:rsidRPr="00724673" w:rsidRDefault="00EE46C4" w:rsidP="00724673">
          <w:pPr>
            <w:pStyle w:val="TOC2"/>
          </w:pPr>
          <w:hyperlink w:anchor="_Toc143687955" w:history="1">
            <w:r w:rsidR="00724673" w:rsidRPr="00724673">
              <w:rPr>
                <w:rStyle w:val="Hyperlink"/>
                <w:color w:val="323E4F" w:themeColor="text2" w:themeShade="BF"/>
                <w:rtl/>
              </w:rPr>
              <w:t>الوكالة بالخصومة (المحاماة)</w:t>
            </w:r>
            <w:r w:rsidR="00724673" w:rsidRPr="00724673">
              <w:rPr>
                <w:webHidden/>
              </w:rPr>
              <w:tab/>
            </w:r>
            <w:r w:rsidR="00724673" w:rsidRPr="00724673">
              <w:rPr>
                <w:webHidden/>
              </w:rPr>
              <w:fldChar w:fldCharType="begin"/>
            </w:r>
            <w:r w:rsidR="00724673" w:rsidRPr="00724673">
              <w:rPr>
                <w:webHidden/>
              </w:rPr>
              <w:instrText xml:space="preserve"> PAGEREF _Toc143687955 \h </w:instrText>
            </w:r>
            <w:r w:rsidR="00724673" w:rsidRPr="00724673">
              <w:rPr>
                <w:webHidden/>
              </w:rPr>
            </w:r>
            <w:r w:rsidR="00724673" w:rsidRPr="00724673">
              <w:rPr>
                <w:webHidden/>
              </w:rPr>
              <w:fldChar w:fldCharType="separate"/>
            </w:r>
            <w:r w:rsidR="00181810">
              <w:rPr>
                <w:webHidden/>
                <w:rtl/>
              </w:rPr>
              <w:t>29</w:t>
            </w:r>
            <w:r w:rsidR="00724673" w:rsidRPr="00724673">
              <w:rPr>
                <w:webHidden/>
              </w:rPr>
              <w:fldChar w:fldCharType="end"/>
            </w:r>
          </w:hyperlink>
        </w:p>
        <w:p w:rsidR="00724673" w:rsidRPr="00724673" w:rsidRDefault="00EE46C4" w:rsidP="00724673">
          <w:pPr>
            <w:pStyle w:val="TOC2"/>
          </w:pPr>
          <w:hyperlink w:anchor="_Toc143687956" w:history="1">
            <w:r w:rsidR="00724673" w:rsidRPr="00724673">
              <w:rPr>
                <w:rStyle w:val="Hyperlink"/>
                <w:color w:val="323E4F" w:themeColor="text2" w:themeShade="BF"/>
                <w:rtl/>
              </w:rPr>
              <w:t>تشريع الوكالة بالخصومة في الشرع الإسلاميّ</w:t>
            </w:r>
            <w:r w:rsidR="00724673" w:rsidRPr="00724673">
              <w:rPr>
                <w:webHidden/>
              </w:rPr>
              <w:tab/>
            </w:r>
            <w:r w:rsidR="00724673" w:rsidRPr="00724673">
              <w:rPr>
                <w:webHidden/>
              </w:rPr>
              <w:fldChar w:fldCharType="begin"/>
            </w:r>
            <w:r w:rsidR="00724673" w:rsidRPr="00724673">
              <w:rPr>
                <w:webHidden/>
              </w:rPr>
              <w:instrText xml:space="preserve"> PAGEREF _Toc143687956 \h </w:instrText>
            </w:r>
            <w:r w:rsidR="00724673" w:rsidRPr="00724673">
              <w:rPr>
                <w:webHidden/>
              </w:rPr>
            </w:r>
            <w:r w:rsidR="00724673" w:rsidRPr="00724673">
              <w:rPr>
                <w:webHidden/>
              </w:rPr>
              <w:fldChar w:fldCharType="separate"/>
            </w:r>
            <w:r w:rsidR="00181810">
              <w:rPr>
                <w:webHidden/>
                <w:rtl/>
              </w:rPr>
              <w:t>30</w:t>
            </w:r>
            <w:r w:rsidR="00724673" w:rsidRPr="00724673">
              <w:rPr>
                <w:webHidden/>
              </w:rPr>
              <w:fldChar w:fldCharType="end"/>
            </w:r>
          </w:hyperlink>
        </w:p>
        <w:p w:rsidR="00724673" w:rsidRPr="00724673" w:rsidRDefault="00EE46C4" w:rsidP="00724673">
          <w:pPr>
            <w:pStyle w:val="TOC2"/>
          </w:pPr>
          <w:hyperlink w:anchor="_Toc143687957" w:history="1">
            <w:r w:rsidR="00724673" w:rsidRPr="00724673">
              <w:rPr>
                <w:rStyle w:val="Hyperlink"/>
                <w:color w:val="323E4F" w:themeColor="text2" w:themeShade="BF"/>
                <w:rtl/>
              </w:rPr>
              <w:t>هل المحاماة وكالة بالخصومة؟</w:t>
            </w:r>
            <w:r w:rsidR="00724673" w:rsidRPr="00724673">
              <w:rPr>
                <w:webHidden/>
              </w:rPr>
              <w:tab/>
            </w:r>
            <w:r w:rsidR="00724673" w:rsidRPr="00724673">
              <w:rPr>
                <w:webHidden/>
              </w:rPr>
              <w:fldChar w:fldCharType="begin"/>
            </w:r>
            <w:r w:rsidR="00724673" w:rsidRPr="00724673">
              <w:rPr>
                <w:webHidden/>
              </w:rPr>
              <w:instrText xml:space="preserve"> PAGEREF _Toc143687957 \h </w:instrText>
            </w:r>
            <w:r w:rsidR="00724673" w:rsidRPr="00724673">
              <w:rPr>
                <w:webHidden/>
              </w:rPr>
            </w:r>
            <w:r w:rsidR="00724673" w:rsidRPr="00724673">
              <w:rPr>
                <w:webHidden/>
              </w:rPr>
              <w:fldChar w:fldCharType="separate"/>
            </w:r>
            <w:r w:rsidR="00181810">
              <w:rPr>
                <w:webHidden/>
                <w:rtl/>
              </w:rPr>
              <w:t>30</w:t>
            </w:r>
            <w:r w:rsidR="00724673" w:rsidRPr="00724673">
              <w:rPr>
                <w:webHidden/>
              </w:rPr>
              <w:fldChar w:fldCharType="end"/>
            </w:r>
          </w:hyperlink>
        </w:p>
        <w:p w:rsidR="00724673" w:rsidRPr="00724673" w:rsidRDefault="00EE46C4" w:rsidP="00724673">
          <w:pPr>
            <w:pStyle w:val="TOC2"/>
          </w:pPr>
          <w:hyperlink w:anchor="_Toc143687958" w:history="1">
            <w:r w:rsidR="00724673" w:rsidRPr="00724673">
              <w:rPr>
                <w:rStyle w:val="Hyperlink"/>
                <w:color w:val="323E4F" w:themeColor="text2" w:themeShade="BF"/>
                <w:rtl/>
              </w:rPr>
              <w:t>آداب مزاولة المهنة</w:t>
            </w:r>
            <w:r w:rsidR="00724673" w:rsidRPr="00724673">
              <w:rPr>
                <w:webHidden/>
              </w:rPr>
              <w:tab/>
            </w:r>
            <w:r w:rsidR="00724673" w:rsidRPr="00724673">
              <w:rPr>
                <w:webHidden/>
              </w:rPr>
              <w:fldChar w:fldCharType="begin"/>
            </w:r>
            <w:r w:rsidR="00724673" w:rsidRPr="00724673">
              <w:rPr>
                <w:webHidden/>
              </w:rPr>
              <w:instrText xml:space="preserve"> PAGEREF _Toc143687958 \h </w:instrText>
            </w:r>
            <w:r w:rsidR="00724673" w:rsidRPr="00724673">
              <w:rPr>
                <w:webHidden/>
              </w:rPr>
            </w:r>
            <w:r w:rsidR="00724673" w:rsidRPr="00724673">
              <w:rPr>
                <w:webHidden/>
              </w:rPr>
              <w:fldChar w:fldCharType="separate"/>
            </w:r>
            <w:r w:rsidR="00181810">
              <w:rPr>
                <w:webHidden/>
                <w:rtl/>
              </w:rPr>
              <w:t>31</w:t>
            </w:r>
            <w:r w:rsidR="00724673" w:rsidRPr="00724673">
              <w:rPr>
                <w:webHidden/>
              </w:rPr>
              <w:fldChar w:fldCharType="end"/>
            </w:r>
          </w:hyperlink>
        </w:p>
        <w:p w:rsidR="00724673" w:rsidRPr="00724673" w:rsidRDefault="00EE46C4" w:rsidP="00724673">
          <w:pPr>
            <w:pStyle w:val="TOC2"/>
          </w:pPr>
          <w:hyperlink w:anchor="_Toc143687959" w:history="1">
            <w:r w:rsidR="00724673" w:rsidRPr="00724673">
              <w:rPr>
                <w:rStyle w:val="Hyperlink"/>
                <w:color w:val="323E4F" w:themeColor="text2" w:themeShade="BF"/>
                <w:rtl/>
              </w:rPr>
              <w:t>أحكام الوكالة</w:t>
            </w:r>
            <w:r w:rsidR="00724673" w:rsidRPr="00724673">
              <w:rPr>
                <w:webHidden/>
              </w:rPr>
              <w:tab/>
            </w:r>
            <w:r w:rsidR="00724673" w:rsidRPr="00724673">
              <w:rPr>
                <w:webHidden/>
              </w:rPr>
              <w:fldChar w:fldCharType="begin"/>
            </w:r>
            <w:r w:rsidR="00724673" w:rsidRPr="00724673">
              <w:rPr>
                <w:webHidden/>
              </w:rPr>
              <w:instrText xml:space="preserve"> PAGEREF _Toc143687959 \h </w:instrText>
            </w:r>
            <w:r w:rsidR="00724673" w:rsidRPr="00724673">
              <w:rPr>
                <w:webHidden/>
              </w:rPr>
            </w:r>
            <w:r w:rsidR="00724673" w:rsidRPr="00724673">
              <w:rPr>
                <w:webHidden/>
              </w:rPr>
              <w:fldChar w:fldCharType="separate"/>
            </w:r>
            <w:r w:rsidR="00181810">
              <w:rPr>
                <w:webHidden/>
                <w:rtl/>
              </w:rPr>
              <w:t>31</w:t>
            </w:r>
            <w:r w:rsidR="00724673" w:rsidRPr="00724673">
              <w:rPr>
                <w:webHidden/>
              </w:rPr>
              <w:fldChar w:fldCharType="end"/>
            </w:r>
          </w:hyperlink>
        </w:p>
        <w:p w:rsidR="00724673" w:rsidRPr="00724673" w:rsidRDefault="00EE46C4" w:rsidP="00724673">
          <w:pPr>
            <w:pStyle w:val="TOC2"/>
          </w:pPr>
          <w:hyperlink w:anchor="_Toc143687960" w:history="1">
            <w:r w:rsidR="00724673" w:rsidRPr="00724673">
              <w:rPr>
                <w:rStyle w:val="Hyperlink"/>
                <w:color w:val="323E4F" w:themeColor="text2" w:themeShade="BF"/>
                <w:rtl/>
              </w:rPr>
              <w:t>موارد بطلان الوكالة</w:t>
            </w:r>
            <w:r w:rsidR="00724673" w:rsidRPr="00724673">
              <w:rPr>
                <w:webHidden/>
              </w:rPr>
              <w:tab/>
            </w:r>
            <w:r w:rsidR="00724673" w:rsidRPr="00724673">
              <w:rPr>
                <w:webHidden/>
              </w:rPr>
              <w:fldChar w:fldCharType="begin"/>
            </w:r>
            <w:r w:rsidR="00724673" w:rsidRPr="00724673">
              <w:rPr>
                <w:webHidden/>
              </w:rPr>
              <w:instrText xml:space="preserve"> PAGEREF _Toc143687960 \h </w:instrText>
            </w:r>
            <w:r w:rsidR="00724673" w:rsidRPr="00724673">
              <w:rPr>
                <w:webHidden/>
              </w:rPr>
            </w:r>
            <w:r w:rsidR="00724673" w:rsidRPr="00724673">
              <w:rPr>
                <w:webHidden/>
              </w:rPr>
              <w:fldChar w:fldCharType="separate"/>
            </w:r>
            <w:r w:rsidR="00181810">
              <w:rPr>
                <w:webHidden/>
                <w:rtl/>
              </w:rPr>
              <w:t>37</w:t>
            </w:r>
            <w:r w:rsidR="00724673" w:rsidRPr="00724673">
              <w:rPr>
                <w:webHidden/>
              </w:rPr>
              <w:fldChar w:fldCharType="end"/>
            </w:r>
          </w:hyperlink>
        </w:p>
        <w:p w:rsidR="00724673" w:rsidRPr="00724673" w:rsidRDefault="00EE46C4" w:rsidP="00724673">
          <w:pPr>
            <w:pStyle w:val="TOC2"/>
          </w:pPr>
          <w:hyperlink w:anchor="_Toc143687961" w:history="1">
            <w:r w:rsidR="00724673" w:rsidRPr="00724673">
              <w:rPr>
                <w:rStyle w:val="Hyperlink"/>
                <w:color w:val="323E4F" w:themeColor="text2" w:themeShade="BF"/>
                <w:rtl/>
              </w:rPr>
              <w:t>الحكمة من تشريع الوكالة بالخصومة (المحاماة)</w:t>
            </w:r>
            <w:r w:rsidR="00724673" w:rsidRPr="00724673">
              <w:rPr>
                <w:webHidden/>
              </w:rPr>
              <w:tab/>
            </w:r>
            <w:r w:rsidR="00724673" w:rsidRPr="00724673">
              <w:rPr>
                <w:webHidden/>
              </w:rPr>
              <w:fldChar w:fldCharType="begin"/>
            </w:r>
            <w:r w:rsidR="00724673" w:rsidRPr="00724673">
              <w:rPr>
                <w:webHidden/>
              </w:rPr>
              <w:instrText xml:space="preserve"> PAGEREF _Toc143687961 \h </w:instrText>
            </w:r>
            <w:r w:rsidR="00724673" w:rsidRPr="00724673">
              <w:rPr>
                <w:webHidden/>
              </w:rPr>
            </w:r>
            <w:r w:rsidR="00724673" w:rsidRPr="00724673">
              <w:rPr>
                <w:webHidden/>
              </w:rPr>
              <w:fldChar w:fldCharType="separate"/>
            </w:r>
            <w:r w:rsidR="00181810">
              <w:rPr>
                <w:webHidden/>
                <w:rtl/>
              </w:rPr>
              <w:t>37</w:t>
            </w:r>
            <w:r w:rsidR="00724673" w:rsidRPr="00724673">
              <w:rPr>
                <w:webHidden/>
              </w:rPr>
              <w:fldChar w:fldCharType="end"/>
            </w:r>
          </w:hyperlink>
        </w:p>
        <w:p w:rsidR="00724673" w:rsidRPr="00724673" w:rsidRDefault="00EE46C4" w:rsidP="00724673">
          <w:pPr>
            <w:pStyle w:val="TOC2"/>
          </w:pPr>
          <w:hyperlink w:anchor="_Toc143687962" w:history="1">
            <w:r w:rsidR="00724673" w:rsidRPr="00724673">
              <w:rPr>
                <w:rStyle w:val="Hyperlink"/>
                <w:color w:val="323E4F" w:themeColor="text2" w:themeShade="BF"/>
                <w:rtl/>
              </w:rPr>
              <w:t>مصطلحات هامّة</w:t>
            </w:r>
            <w:r w:rsidR="00724673" w:rsidRPr="00724673">
              <w:rPr>
                <w:webHidden/>
              </w:rPr>
              <w:tab/>
            </w:r>
            <w:r w:rsidR="00724673" w:rsidRPr="00724673">
              <w:rPr>
                <w:webHidden/>
              </w:rPr>
              <w:fldChar w:fldCharType="begin"/>
            </w:r>
            <w:r w:rsidR="00724673" w:rsidRPr="00724673">
              <w:rPr>
                <w:webHidden/>
              </w:rPr>
              <w:instrText xml:space="preserve"> PAGEREF _Toc143687962 \h </w:instrText>
            </w:r>
            <w:r w:rsidR="00724673" w:rsidRPr="00724673">
              <w:rPr>
                <w:webHidden/>
              </w:rPr>
            </w:r>
            <w:r w:rsidR="00724673" w:rsidRPr="00724673">
              <w:rPr>
                <w:webHidden/>
              </w:rPr>
              <w:fldChar w:fldCharType="separate"/>
            </w:r>
            <w:r w:rsidR="00181810">
              <w:rPr>
                <w:webHidden/>
                <w:rtl/>
              </w:rPr>
              <w:t>38</w:t>
            </w:r>
            <w:r w:rsidR="00724673" w:rsidRPr="00724673">
              <w:rPr>
                <w:webHidden/>
              </w:rPr>
              <w:fldChar w:fldCharType="end"/>
            </w:r>
          </w:hyperlink>
        </w:p>
        <w:p w:rsidR="00724673" w:rsidRPr="00724673" w:rsidRDefault="00EE46C4" w:rsidP="00724673">
          <w:pPr>
            <w:pStyle w:val="TOC1"/>
          </w:pPr>
          <w:hyperlink w:anchor="_Toc143687963" w:history="1">
            <w:r w:rsidR="00724673" w:rsidRPr="00724673">
              <w:rPr>
                <w:rStyle w:val="Hyperlink"/>
                <w:rtl/>
              </w:rPr>
              <w:t>الأحكام الابتلائيّة للمحامي</w:t>
            </w:r>
            <w:r w:rsidR="00724673" w:rsidRPr="00724673">
              <w:rPr>
                <w:webHidden/>
              </w:rPr>
              <w:tab/>
            </w:r>
            <w:r w:rsidR="00724673" w:rsidRPr="00724673">
              <w:rPr>
                <w:webHidden/>
              </w:rPr>
              <w:fldChar w:fldCharType="begin"/>
            </w:r>
            <w:r w:rsidR="00724673" w:rsidRPr="00724673">
              <w:rPr>
                <w:webHidden/>
              </w:rPr>
              <w:instrText xml:space="preserve"> PAGEREF _Toc143687963 \h </w:instrText>
            </w:r>
            <w:r w:rsidR="00724673" w:rsidRPr="00724673">
              <w:rPr>
                <w:webHidden/>
              </w:rPr>
            </w:r>
            <w:r w:rsidR="00724673" w:rsidRPr="00724673">
              <w:rPr>
                <w:webHidden/>
              </w:rPr>
              <w:fldChar w:fldCharType="separate"/>
            </w:r>
            <w:r w:rsidR="00181810">
              <w:rPr>
                <w:webHidden/>
                <w:rtl/>
              </w:rPr>
              <w:t>43</w:t>
            </w:r>
            <w:r w:rsidR="00724673" w:rsidRPr="00724673">
              <w:rPr>
                <w:webHidden/>
              </w:rPr>
              <w:fldChar w:fldCharType="end"/>
            </w:r>
          </w:hyperlink>
        </w:p>
        <w:p w:rsidR="00724673" w:rsidRPr="00724673" w:rsidRDefault="00EE46C4" w:rsidP="00724673">
          <w:pPr>
            <w:pStyle w:val="TOC2"/>
          </w:pPr>
          <w:hyperlink w:anchor="_Toc143687964" w:history="1">
            <w:r w:rsidR="00724673" w:rsidRPr="00724673">
              <w:rPr>
                <w:rStyle w:val="Hyperlink"/>
                <w:color w:val="323E4F" w:themeColor="text2" w:themeShade="BF"/>
                <w:rtl/>
              </w:rPr>
              <w:t>مقدّمة</w:t>
            </w:r>
            <w:r w:rsidR="00724673" w:rsidRPr="00724673">
              <w:rPr>
                <w:webHidden/>
              </w:rPr>
              <w:tab/>
            </w:r>
            <w:r w:rsidR="00724673" w:rsidRPr="00724673">
              <w:rPr>
                <w:webHidden/>
              </w:rPr>
              <w:fldChar w:fldCharType="begin"/>
            </w:r>
            <w:r w:rsidR="00724673" w:rsidRPr="00724673">
              <w:rPr>
                <w:webHidden/>
              </w:rPr>
              <w:instrText xml:space="preserve"> PAGEREF _Toc143687964 \h </w:instrText>
            </w:r>
            <w:r w:rsidR="00724673" w:rsidRPr="00724673">
              <w:rPr>
                <w:webHidden/>
              </w:rPr>
            </w:r>
            <w:r w:rsidR="00724673" w:rsidRPr="00724673">
              <w:rPr>
                <w:webHidden/>
              </w:rPr>
              <w:fldChar w:fldCharType="separate"/>
            </w:r>
            <w:r w:rsidR="00181810">
              <w:rPr>
                <w:webHidden/>
                <w:rtl/>
              </w:rPr>
              <w:t>43</w:t>
            </w:r>
            <w:r w:rsidR="00724673" w:rsidRPr="00724673">
              <w:rPr>
                <w:webHidden/>
              </w:rPr>
              <w:fldChar w:fldCharType="end"/>
            </w:r>
          </w:hyperlink>
        </w:p>
        <w:p w:rsidR="00724673" w:rsidRPr="00724673" w:rsidRDefault="00EE46C4" w:rsidP="00724673">
          <w:pPr>
            <w:pStyle w:val="TOC2"/>
          </w:pPr>
          <w:hyperlink w:anchor="_Toc143687965" w:history="1">
            <w:r w:rsidR="00724673" w:rsidRPr="00724673">
              <w:rPr>
                <w:rStyle w:val="Hyperlink"/>
                <w:color w:val="323E4F" w:themeColor="text2" w:themeShade="BF"/>
                <w:rtl/>
              </w:rPr>
              <w:t>في أصل المهنة والعمل بها</w:t>
            </w:r>
            <w:r w:rsidR="00724673" w:rsidRPr="00724673">
              <w:rPr>
                <w:webHidden/>
              </w:rPr>
              <w:tab/>
            </w:r>
            <w:r w:rsidR="00724673" w:rsidRPr="00724673">
              <w:rPr>
                <w:webHidden/>
              </w:rPr>
              <w:fldChar w:fldCharType="begin"/>
            </w:r>
            <w:r w:rsidR="00724673" w:rsidRPr="00724673">
              <w:rPr>
                <w:webHidden/>
              </w:rPr>
              <w:instrText xml:space="preserve"> PAGEREF _Toc143687965 \h </w:instrText>
            </w:r>
            <w:r w:rsidR="00724673" w:rsidRPr="00724673">
              <w:rPr>
                <w:webHidden/>
              </w:rPr>
            </w:r>
            <w:r w:rsidR="00724673" w:rsidRPr="00724673">
              <w:rPr>
                <w:webHidden/>
              </w:rPr>
              <w:fldChar w:fldCharType="separate"/>
            </w:r>
            <w:r w:rsidR="00181810">
              <w:rPr>
                <w:webHidden/>
                <w:rtl/>
              </w:rPr>
              <w:t>43</w:t>
            </w:r>
            <w:r w:rsidR="00724673" w:rsidRPr="00724673">
              <w:rPr>
                <w:webHidden/>
              </w:rPr>
              <w:fldChar w:fldCharType="end"/>
            </w:r>
          </w:hyperlink>
        </w:p>
        <w:p w:rsidR="00724673" w:rsidRPr="00724673" w:rsidRDefault="00EE46C4" w:rsidP="00724673">
          <w:pPr>
            <w:pStyle w:val="TOC2"/>
          </w:pPr>
          <w:hyperlink w:anchor="_Toc143687966" w:history="1">
            <w:r w:rsidR="00724673" w:rsidRPr="00724673">
              <w:rPr>
                <w:rStyle w:val="Hyperlink"/>
                <w:color w:val="323E4F" w:themeColor="text2" w:themeShade="BF"/>
                <w:rtl/>
              </w:rPr>
              <w:t>في الوكالة والوكيل والموكّل والمرافعات</w:t>
            </w:r>
            <w:r w:rsidR="00724673" w:rsidRPr="00724673">
              <w:rPr>
                <w:webHidden/>
              </w:rPr>
              <w:tab/>
            </w:r>
            <w:r w:rsidR="00724673" w:rsidRPr="00724673">
              <w:rPr>
                <w:webHidden/>
              </w:rPr>
              <w:fldChar w:fldCharType="begin"/>
            </w:r>
            <w:r w:rsidR="00724673" w:rsidRPr="00724673">
              <w:rPr>
                <w:webHidden/>
              </w:rPr>
              <w:instrText xml:space="preserve"> PAGEREF _Toc143687966 \h </w:instrText>
            </w:r>
            <w:r w:rsidR="00724673" w:rsidRPr="00724673">
              <w:rPr>
                <w:webHidden/>
              </w:rPr>
            </w:r>
            <w:r w:rsidR="00724673" w:rsidRPr="00724673">
              <w:rPr>
                <w:webHidden/>
              </w:rPr>
              <w:fldChar w:fldCharType="separate"/>
            </w:r>
            <w:r w:rsidR="00181810">
              <w:rPr>
                <w:webHidden/>
                <w:rtl/>
              </w:rPr>
              <w:t>44</w:t>
            </w:r>
            <w:r w:rsidR="00724673" w:rsidRPr="00724673">
              <w:rPr>
                <w:webHidden/>
              </w:rPr>
              <w:fldChar w:fldCharType="end"/>
            </w:r>
          </w:hyperlink>
        </w:p>
        <w:p w:rsidR="00724673" w:rsidRPr="00724673" w:rsidRDefault="00EE46C4" w:rsidP="00724673">
          <w:pPr>
            <w:pStyle w:val="TOC2"/>
          </w:pPr>
          <w:hyperlink w:anchor="_Toc143687967" w:history="1">
            <w:r w:rsidR="00724673" w:rsidRPr="00724673">
              <w:rPr>
                <w:rStyle w:val="Hyperlink"/>
                <w:color w:val="323E4F" w:themeColor="text2" w:themeShade="BF"/>
                <w:rtl/>
              </w:rPr>
              <w:t>الدفاع عمّا يخالف الشرع</w:t>
            </w:r>
            <w:r w:rsidR="00724673" w:rsidRPr="00724673">
              <w:rPr>
                <w:webHidden/>
              </w:rPr>
              <w:tab/>
            </w:r>
            <w:r w:rsidR="00724673" w:rsidRPr="00724673">
              <w:rPr>
                <w:webHidden/>
              </w:rPr>
              <w:fldChar w:fldCharType="begin"/>
            </w:r>
            <w:r w:rsidR="00724673" w:rsidRPr="00724673">
              <w:rPr>
                <w:webHidden/>
              </w:rPr>
              <w:instrText xml:space="preserve"> PAGEREF _Toc143687967 \h </w:instrText>
            </w:r>
            <w:r w:rsidR="00724673" w:rsidRPr="00724673">
              <w:rPr>
                <w:webHidden/>
              </w:rPr>
            </w:r>
            <w:r w:rsidR="00724673" w:rsidRPr="00724673">
              <w:rPr>
                <w:webHidden/>
              </w:rPr>
              <w:fldChar w:fldCharType="separate"/>
            </w:r>
            <w:r w:rsidR="00181810">
              <w:rPr>
                <w:webHidden/>
                <w:rtl/>
              </w:rPr>
              <w:t>47</w:t>
            </w:r>
            <w:r w:rsidR="00724673" w:rsidRPr="00724673">
              <w:rPr>
                <w:webHidden/>
              </w:rPr>
              <w:fldChar w:fldCharType="end"/>
            </w:r>
          </w:hyperlink>
        </w:p>
        <w:p w:rsidR="00724673" w:rsidRPr="00724673" w:rsidRDefault="00EE46C4" w:rsidP="00724673">
          <w:pPr>
            <w:pStyle w:val="TOC2"/>
          </w:pPr>
          <w:hyperlink w:anchor="_Toc143687968" w:history="1">
            <w:r w:rsidR="00724673" w:rsidRPr="00724673">
              <w:rPr>
                <w:rStyle w:val="Hyperlink"/>
                <w:color w:val="323E4F" w:themeColor="text2" w:themeShade="BF"/>
                <w:rtl/>
              </w:rPr>
              <w:t>الظلم والدفاع عن الباطل</w:t>
            </w:r>
            <w:r w:rsidR="00724673" w:rsidRPr="00724673">
              <w:rPr>
                <w:webHidden/>
              </w:rPr>
              <w:tab/>
            </w:r>
            <w:r w:rsidR="00724673" w:rsidRPr="00724673">
              <w:rPr>
                <w:webHidden/>
              </w:rPr>
              <w:fldChar w:fldCharType="begin"/>
            </w:r>
            <w:r w:rsidR="00724673" w:rsidRPr="00724673">
              <w:rPr>
                <w:webHidden/>
              </w:rPr>
              <w:instrText xml:space="preserve"> PAGEREF _Toc143687968 \h </w:instrText>
            </w:r>
            <w:r w:rsidR="00724673" w:rsidRPr="00724673">
              <w:rPr>
                <w:webHidden/>
              </w:rPr>
            </w:r>
            <w:r w:rsidR="00724673" w:rsidRPr="00724673">
              <w:rPr>
                <w:webHidden/>
              </w:rPr>
              <w:fldChar w:fldCharType="separate"/>
            </w:r>
            <w:r w:rsidR="00181810">
              <w:rPr>
                <w:webHidden/>
                <w:rtl/>
              </w:rPr>
              <w:t>47</w:t>
            </w:r>
            <w:r w:rsidR="00724673" w:rsidRPr="00724673">
              <w:rPr>
                <w:webHidden/>
              </w:rPr>
              <w:fldChar w:fldCharType="end"/>
            </w:r>
          </w:hyperlink>
        </w:p>
        <w:p w:rsidR="00724673" w:rsidRPr="00724673" w:rsidRDefault="00EE46C4" w:rsidP="00724673">
          <w:pPr>
            <w:pStyle w:val="TOC2"/>
          </w:pPr>
          <w:hyperlink w:anchor="_Toc143687969" w:history="1">
            <w:r w:rsidR="00724673" w:rsidRPr="00724673">
              <w:rPr>
                <w:rStyle w:val="Hyperlink"/>
                <w:color w:val="323E4F" w:themeColor="text2" w:themeShade="BF"/>
                <w:rtl/>
              </w:rPr>
              <w:t>الدفاع عن مرتكب الحرام</w:t>
            </w:r>
            <w:r w:rsidR="00724673" w:rsidRPr="00724673">
              <w:rPr>
                <w:webHidden/>
              </w:rPr>
              <w:tab/>
            </w:r>
            <w:r w:rsidR="00724673" w:rsidRPr="00724673">
              <w:rPr>
                <w:webHidden/>
              </w:rPr>
              <w:fldChar w:fldCharType="begin"/>
            </w:r>
            <w:r w:rsidR="00724673" w:rsidRPr="00724673">
              <w:rPr>
                <w:webHidden/>
              </w:rPr>
              <w:instrText xml:space="preserve"> PAGEREF _Toc143687969 \h </w:instrText>
            </w:r>
            <w:r w:rsidR="00724673" w:rsidRPr="00724673">
              <w:rPr>
                <w:webHidden/>
              </w:rPr>
            </w:r>
            <w:r w:rsidR="00724673" w:rsidRPr="00724673">
              <w:rPr>
                <w:webHidden/>
              </w:rPr>
              <w:fldChar w:fldCharType="separate"/>
            </w:r>
            <w:r w:rsidR="00181810">
              <w:rPr>
                <w:webHidden/>
                <w:rtl/>
              </w:rPr>
              <w:t>49</w:t>
            </w:r>
            <w:r w:rsidR="00724673" w:rsidRPr="00724673">
              <w:rPr>
                <w:webHidden/>
              </w:rPr>
              <w:fldChar w:fldCharType="end"/>
            </w:r>
          </w:hyperlink>
        </w:p>
        <w:p w:rsidR="00724673" w:rsidRPr="00724673" w:rsidRDefault="00EE46C4" w:rsidP="00724673">
          <w:pPr>
            <w:pStyle w:val="TOC2"/>
          </w:pPr>
          <w:hyperlink w:anchor="_Toc143687970" w:history="1">
            <w:r w:rsidR="00724673" w:rsidRPr="00724673">
              <w:rPr>
                <w:rStyle w:val="Hyperlink"/>
                <w:color w:val="323E4F" w:themeColor="text2" w:themeShade="BF"/>
                <w:rtl/>
              </w:rPr>
              <w:t>في موارد الكسب وأجرة الأتعاب والأمور الماليّة</w:t>
            </w:r>
            <w:r w:rsidR="00724673" w:rsidRPr="00724673">
              <w:rPr>
                <w:webHidden/>
              </w:rPr>
              <w:tab/>
            </w:r>
            <w:r w:rsidR="00724673" w:rsidRPr="00724673">
              <w:rPr>
                <w:webHidden/>
              </w:rPr>
              <w:fldChar w:fldCharType="begin"/>
            </w:r>
            <w:r w:rsidR="00724673" w:rsidRPr="00724673">
              <w:rPr>
                <w:webHidden/>
              </w:rPr>
              <w:instrText xml:space="preserve"> PAGEREF _Toc143687970 \h </w:instrText>
            </w:r>
            <w:r w:rsidR="00724673" w:rsidRPr="00724673">
              <w:rPr>
                <w:webHidden/>
              </w:rPr>
            </w:r>
            <w:r w:rsidR="00724673" w:rsidRPr="00724673">
              <w:rPr>
                <w:webHidden/>
              </w:rPr>
              <w:fldChar w:fldCharType="separate"/>
            </w:r>
            <w:r w:rsidR="00181810">
              <w:rPr>
                <w:webHidden/>
                <w:rtl/>
              </w:rPr>
              <w:t>49</w:t>
            </w:r>
            <w:r w:rsidR="00724673" w:rsidRPr="00724673">
              <w:rPr>
                <w:webHidden/>
              </w:rPr>
              <w:fldChar w:fldCharType="end"/>
            </w:r>
          </w:hyperlink>
        </w:p>
        <w:p w:rsidR="00724673" w:rsidRPr="00724673" w:rsidRDefault="00EE46C4" w:rsidP="00724673">
          <w:pPr>
            <w:pStyle w:val="TOC2"/>
          </w:pPr>
          <w:hyperlink w:anchor="_Toc143687971" w:history="1">
            <w:r w:rsidR="00724673" w:rsidRPr="00724673">
              <w:rPr>
                <w:rStyle w:val="Hyperlink"/>
                <w:color w:val="323E4F" w:themeColor="text2" w:themeShade="BF"/>
                <w:rtl/>
              </w:rPr>
              <w:t>حرمة الرشوة</w:t>
            </w:r>
            <w:r w:rsidR="00724673" w:rsidRPr="00724673">
              <w:rPr>
                <w:webHidden/>
              </w:rPr>
              <w:tab/>
            </w:r>
            <w:r w:rsidR="00724673" w:rsidRPr="00724673">
              <w:rPr>
                <w:webHidden/>
              </w:rPr>
              <w:fldChar w:fldCharType="begin"/>
            </w:r>
            <w:r w:rsidR="00724673" w:rsidRPr="00724673">
              <w:rPr>
                <w:webHidden/>
              </w:rPr>
              <w:instrText xml:space="preserve"> PAGEREF _Toc143687971 \h </w:instrText>
            </w:r>
            <w:r w:rsidR="00724673" w:rsidRPr="00724673">
              <w:rPr>
                <w:webHidden/>
              </w:rPr>
            </w:r>
            <w:r w:rsidR="00724673" w:rsidRPr="00724673">
              <w:rPr>
                <w:webHidden/>
              </w:rPr>
              <w:fldChar w:fldCharType="separate"/>
            </w:r>
            <w:r w:rsidR="00181810">
              <w:rPr>
                <w:webHidden/>
                <w:rtl/>
              </w:rPr>
              <w:t>50</w:t>
            </w:r>
            <w:r w:rsidR="00724673" w:rsidRPr="00724673">
              <w:rPr>
                <w:webHidden/>
              </w:rPr>
              <w:fldChar w:fldCharType="end"/>
            </w:r>
          </w:hyperlink>
        </w:p>
        <w:p w:rsidR="00724673" w:rsidRPr="00724673" w:rsidRDefault="00EE46C4" w:rsidP="00724673">
          <w:pPr>
            <w:pStyle w:val="TOC2"/>
          </w:pPr>
          <w:hyperlink w:anchor="_Toc143687972" w:history="1">
            <w:r w:rsidR="00724673" w:rsidRPr="00724673">
              <w:rPr>
                <w:rStyle w:val="Hyperlink"/>
                <w:color w:val="323E4F" w:themeColor="text2" w:themeShade="BF"/>
                <w:rtl/>
              </w:rPr>
              <w:t>التأخير في العمل</w:t>
            </w:r>
            <w:r w:rsidR="00724673" w:rsidRPr="00724673">
              <w:rPr>
                <w:webHidden/>
              </w:rPr>
              <w:tab/>
            </w:r>
            <w:r w:rsidR="00724673" w:rsidRPr="00724673">
              <w:rPr>
                <w:webHidden/>
              </w:rPr>
              <w:fldChar w:fldCharType="begin"/>
            </w:r>
            <w:r w:rsidR="00724673" w:rsidRPr="00724673">
              <w:rPr>
                <w:webHidden/>
              </w:rPr>
              <w:instrText xml:space="preserve"> PAGEREF _Toc143687972 \h </w:instrText>
            </w:r>
            <w:r w:rsidR="00724673" w:rsidRPr="00724673">
              <w:rPr>
                <w:webHidden/>
              </w:rPr>
            </w:r>
            <w:r w:rsidR="00724673" w:rsidRPr="00724673">
              <w:rPr>
                <w:webHidden/>
              </w:rPr>
              <w:fldChar w:fldCharType="separate"/>
            </w:r>
            <w:r w:rsidR="00181810">
              <w:rPr>
                <w:webHidden/>
                <w:rtl/>
              </w:rPr>
              <w:t>50</w:t>
            </w:r>
            <w:r w:rsidR="00724673" w:rsidRPr="00724673">
              <w:rPr>
                <w:webHidden/>
              </w:rPr>
              <w:fldChar w:fldCharType="end"/>
            </w:r>
          </w:hyperlink>
        </w:p>
        <w:p w:rsidR="00724673" w:rsidRPr="00724673" w:rsidRDefault="00EE46C4" w:rsidP="00724673">
          <w:pPr>
            <w:pStyle w:val="TOC2"/>
          </w:pPr>
          <w:hyperlink w:anchor="_Toc143687973" w:history="1">
            <w:r w:rsidR="00724673" w:rsidRPr="00724673">
              <w:rPr>
                <w:rStyle w:val="Hyperlink"/>
                <w:color w:val="323E4F" w:themeColor="text2" w:themeShade="BF"/>
                <w:rtl/>
              </w:rPr>
              <w:t>في الشهادة</w:t>
            </w:r>
            <w:r w:rsidR="00724673" w:rsidRPr="00724673">
              <w:rPr>
                <w:webHidden/>
              </w:rPr>
              <w:tab/>
            </w:r>
            <w:r w:rsidR="00724673" w:rsidRPr="00724673">
              <w:rPr>
                <w:webHidden/>
              </w:rPr>
              <w:fldChar w:fldCharType="begin"/>
            </w:r>
            <w:r w:rsidR="00724673" w:rsidRPr="00724673">
              <w:rPr>
                <w:webHidden/>
              </w:rPr>
              <w:instrText xml:space="preserve"> PAGEREF _Toc143687973 \h </w:instrText>
            </w:r>
            <w:r w:rsidR="00724673" w:rsidRPr="00724673">
              <w:rPr>
                <w:webHidden/>
              </w:rPr>
            </w:r>
            <w:r w:rsidR="00724673" w:rsidRPr="00724673">
              <w:rPr>
                <w:webHidden/>
              </w:rPr>
              <w:fldChar w:fldCharType="separate"/>
            </w:r>
            <w:r w:rsidR="00181810">
              <w:rPr>
                <w:webHidden/>
                <w:rtl/>
              </w:rPr>
              <w:t>51</w:t>
            </w:r>
            <w:r w:rsidR="00724673" w:rsidRPr="00724673">
              <w:rPr>
                <w:webHidden/>
              </w:rPr>
              <w:fldChar w:fldCharType="end"/>
            </w:r>
          </w:hyperlink>
        </w:p>
        <w:p w:rsidR="00724673" w:rsidRPr="00724673" w:rsidRDefault="00EE46C4" w:rsidP="00724673">
          <w:pPr>
            <w:pStyle w:val="TOC2"/>
          </w:pPr>
          <w:hyperlink w:anchor="_Toc143687974" w:history="1">
            <w:r w:rsidR="00724673" w:rsidRPr="00724673">
              <w:rPr>
                <w:rStyle w:val="Hyperlink"/>
                <w:color w:val="323E4F" w:themeColor="text2" w:themeShade="BF"/>
                <w:rtl/>
              </w:rPr>
              <w:t>في تخفيف العقوبة عن الجاني</w:t>
            </w:r>
            <w:r w:rsidR="00724673" w:rsidRPr="00724673">
              <w:rPr>
                <w:webHidden/>
              </w:rPr>
              <w:tab/>
            </w:r>
            <w:r w:rsidR="00724673" w:rsidRPr="00724673">
              <w:rPr>
                <w:webHidden/>
              </w:rPr>
              <w:fldChar w:fldCharType="begin"/>
            </w:r>
            <w:r w:rsidR="00724673" w:rsidRPr="00724673">
              <w:rPr>
                <w:webHidden/>
              </w:rPr>
              <w:instrText xml:space="preserve"> PAGEREF _Toc143687974 \h </w:instrText>
            </w:r>
            <w:r w:rsidR="00724673" w:rsidRPr="00724673">
              <w:rPr>
                <w:webHidden/>
              </w:rPr>
            </w:r>
            <w:r w:rsidR="00724673" w:rsidRPr="00724673">
              <w:rPr>
                <w:webHidden/>
              </w:rPr>
              <w:fldChar w:fldCharType="separate"/>
            </w:r>
            <w:r w:rsidR="00181810">
              <w:rPr>
                <w:webHidden/>
                <w:rtl/>
              </w:rPr>
              <w:t>51</w:t>
            </w:r>
            <w:r w:rsidR="00724673" w:rsidRPr="00724673">
              <w:rPr>
                <w:webHidden/>
              </w:rPr>
              <w:fldChar w:fldCharType="end"/>
            </w:r>
          </w:hyperlink>
        </w:p>
        <w:p w:rsidR="00724673" w:rsidRPr="00724673" w:rsidRDefault="00EE46C4" w:rsidP="00724673">
          <w:pPr>
            <w:pStyle w:val="TOC2"/>
          </w:pPr>
          <w:hyperlink w:anchor="_Toc143687975" w:history="1">
            <w:r w:rsidR="00724673" w:rsidRPr="00724673">
              <w:rPr>
                <w:rStyle w:val="Hyperlink"/>
                <w:color w:val="323E4F" w:themeColor="text2" w:themeShade="BF"/>
                <w:rtl/>
              </w:rPr>
              <w:t>استخدام العامل النفسيّ في المرافعة</w:t>
            </w:r>
            <w:r w:rsidR="00724673" w:rsidRPr="00724673">
              <w:rPr>
                <w:webHidden/>
              </w:rPr>
              <w:tab/>
            </w:r>
            <w:r w:rsidR="00724673" w:rsidRPr="00724673">
              <w:rPr>
                <w:webHidden/>
              </w:rPr>
              <w:fldChar w:fldCharType="begin"/>
            </w:r>
            <w:r w:rsidR="00724673" w:rsidRPr="00724673">
              <w:rPr>
                <w:webHidden/>
              </w:rPr>
              <w:instrText xml:space="preserve"> PAGEREF _Toc143687975 \h </w:instrText>
            </w:r>
            <w:r w:rsidR="00724673" w:rsidRPr="00724673">
              <w:rPr>
                <w:webHidden/>
              </w:rPr>
            </w:r>
            <w:r w:rsidR="00724673" w:rsidRPr="00724673">
              <w:rPr>
                <w:webHidden/>
              </w:rPr>
              <w:fldChar w:fldCharType="separate"/>
            </w:r>
            <w:r w:rsidR="00181810">
              <w:rPr>
                <w:webHidden/>
                <w:rtl/>
              </w:rPr>
              <w:t>52</w:t>
            </w:r>
            <w:r w:rsidR="00724673" w:rsidRPr="00724673">
              <w:rPr>
                <w:webHidden/>
              </w:rPr>
              <w:fldChar w:fldCharType="end"/>
            </w:r>
          </w:hyperlink>
        </w:p>
        <w:p w:rsidR="00724673" w:rsidRPr="00724673" w:rsidRDefault="00EE46C4" w:rsidP="00724673">
          <w:pPr>
            <w:pStyle w:val="TOC2"/>
          </w:pPr>
          <w:hyperlink w:anchor="_Toc143687976" w:history="1">
            <w:r w:rsidR="00724673" w:rsidRPr="00724673">
              <w:rPr>
                <w:rStyle w:val="Hyperlink"/>
                <w:color w:val="323E4F" w:themeColor="text2" w:themeShade="BF"/>
                <w:rtl/>
              </w:rPr>
              <w:t>في إخفاء الحقيقة</w:t>
            </w:r>
            <w:r w:rsidR="00724673" w:rsidRPr="00724673">
              <w:rPr>
                <w:webHidden/>
              </w:rPr>
              <w:tab/>
            </w:r>
            <w:r w:rsidR="00724673" w:rsidRPr="00724673">
              <w:rPr>
                <w:webHidden/>
              </w:rPr>
              <w:fldChar w:fldCharType="begin"/>
            </w:r>
            <w:r w:rsidR="00724673" w:rsidRPr="00724673">
              <w:rPr>
                <w:webHidden/>
              </w:rPr>
              <w:instrText xml:space="preserve"> PAGEREF _Toc143687976 \h </w:instrText>
            </w:r>
            <w:r w:rsidR="00724673" w:rsidRPr="00724673">
              <w:rPr>
                <w:webHidden/>
              </w:rPr>
            </w:r>
            <w:r w:rsidR="00724673" w:rsidRPr="00724673">
              <w:rPr>
                <w:webHidden/>
              </w:rPr>
              <w:fldChar w:fldCharType="separate"/>
            </w:r>
            <w:r w:rsidR="00181810">
              <w:rPr>
                <w:webHidden/>
                <w:rtl/>
              </w:rPr>
              <w:t>52</w:t>
            </w:r>
            <w:r w:rsidR="00724673" w:rsidRPr="00724673">
              <w:rPr>
                <w:webHidden/>
              </w:rPr>
              <w:fldChar w:fldCharType="end"/>
            </w:r>
          </w:hyperlink>
        </w:p>
        <w:p w:rsidR="00724673" w:rsidRPr="00724673" w:rsidRDefault="00EE46C4" w:rsidP="00724673">
          <w:pPr>
            <w:pStyle w:val="TOC2"/>
          </w:pPr>
          <w:hyperlink w:anchor="_Toc143687977" w:history="1">
            <w:r w:rsidR="00724673" w:rsidRPr="00724673">
              <w:rPr>
                <w:rStyle w:val="Hyperlink"/>
                <w:color w:val="323E4F" w:themeColor="text2" w:themeShade="BF"/>
                <w:rtl/>
              </w:rPr>
              <w:t>مسائل مختلفة</w:t>
            </w:r>
            <w:r w:rsidR="00724673" w:rsidRPr="00724673">
              <w:rPr>
                <w:webHidden/>
              </w:rPr>
              <w:tab/>
            </w:r>
            <w:r w:rsidR="00724673" w:rsidRPr="00724673">
              <w:rPr>
                <w:webHidden/>
              </w:rPr>
              <w:fldChar w:fldCharType="begin"/>
            </w:r>
            <w:r w:rsidR="00724673" w:rsidRPr="00724673">
              <w:rPr>
                <w:webHidden/>
              </w:rPr>
              <w:instrText xml:space="preserve"> PAGEREF _Toc143687977 \h </w:instrText>
            </w:r>
            <w:r w:rsidR="00724673" w:rsidRPr="00724673">
              <w:rPr>
                <w:webHidden/>
              </w:rPr>
            </w:r>
            <w:r w:rsidR="00724673" w:rsidRPr="00724673">
              <w:rPr>
                <w:webHidden/>
              </w:rPr>
              <w:fldChar w:fldCharType="separate"/>
            </w:r>
            <w:r w:rsidR="00181810">
              <w:rPr>
                <w:webHidden/>
                <w:rtl/>
              </w:rPr>
              <w:t>53</w:t>
            </w:r>
            <w:r w:rsidR="00724673" w:rsidRPr="00724673">
              <w:rPr>
                <w:webHidden/>
              </w:rPr>
              <w:fldChar w:fldCharType="end"/>
            </w:r>
          </w:hyperlink>
        </w:p>
        <w:p w:rsidR="00724673" w:rsidRPr="00724673" w:rsidRDefault="00724673" w:rsidP="00724673">
          <w:pPr>
            <w:bidi/>
            <w:jc w:val="both"/>
            <w:rPr>
              <w:rFonts w:ascii="Adobe Arabic" w:hAnsi="Adobe Arabic" w:cs="Adobe Arabic"/>
              <w:sz w:val="32"/>
              <w:szCs w:val="32"/>
            </w:rPr>
          </w:pPr>
          <w:r w:rsidRPr="00724673">
            <w:rPr>
              <w:rFonts w:ascii="Adobe Arabic" w:hAnsi="Adobe Arabic" w:cs="Adobe Arabic"/>
              <w:b/>
              <w:bCs/>
              <w:noProof/>
              <w:sz w:val="32"/>
              <w:szCs w:val="32"/>
            </w:rPr>
            <w:fldChar w:fldCharType="end"/>
          </w:r>
        </w:p>
      </w:sdtContent>
    </w:sdt>
    <w:p w:rsidR="003B070C" w:rsidRDefault="003B070C">
      <w:pPr>
        <w:rPr>
          <w:rFonts w:ascii="Adobe Arabic" w:eastAsia="Times New Roman" w:hAnsi="Adobe Arabic" w:cs="Adobe Arabic"/>
          <w:color w:val="000000"/>
          <w:sz w:val="32"/>
          <w:szCs w:val="32"/>
          <w:rtl/>
        </w:rPr>
      </w:pPr>
    </w:p>
    <w:p w:rsidR="003B070C" w:rsidRDefault="003B07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A1A4A" w:rsidRPr="003B070C" w:rsidRDefault="000A1A4A" w:rsidP="003B070C">
      <w:pPr>
        <w:pStyle w:val="Heading1"/>
        <w:bidi/>
        <w:jc w:val="both"/>
        <w:rPr>
          <w:rFonts w:ascii="Adobe Arabic" w:eastAsia="Times New Roman" w:hAnsi="Adobe Arabic" w:cs="Adobe Arabic"/>
          <w:b/>
          <w:bCs/>
          <w:color w:val="94553C"/>
          <w:sz w:val="40"/>
          <w:szCs w:val="40"/>
          <w:rtl/>
        </w:rPr>
      </w:pPr>
      <w:bookmarkStart w:id="0" w:name="_Toc143687940"/>
      <w:r w:rsidRPr="003B070C">
        <w:rPr>
          <w:rFonts w:ascii="Adobe Arabic" w:eastAsia="Times New Roman" w:hAnsi="Adobe Arabic" w:cs="Adobe Arabic"/>
          <w:b/>
          <w:bCs/>
          <w:color w:val="94553C"/>
          <w:sz w:val="40"/>
          <w:szCs w:val="40"/>
          <w:rtl/>
        </w:rPr>
        <w:lastRenderedPageBreak/>
        <w:t>المقدّمة</w:t>
      </w:r>
      <w:bookmarkEnd w:id="0"/>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الحمد لله ربّ العالمين، وصلّى الله على سيّدنا محمّد وآله الطيّبين الطاهرين.</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التفقّه في الدين، وتعلّم الأحكام الشرعيّة الفقهيّة وفهمها، من الأمور التي حثّت الشريعة الإسلاميّة عليها؛ كونها تشكّل البناء المعرفيّ والفكريّ لشخصيّة الإنسان المسلم، وترسم معالم سلوكه على المستويين، الفرديّ والاجتماعيّ.</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وقد أوجبت الشريعة على المكلَّف تعلّم الأحكام الشرعيّة التي يُبتلى بها، بلا فرق بين الأحكام الخاصّة بالعبادات التي يُبتلى بها كلّ المكلّفين، أو الأحكام الخاصّة بوظيفة كلّ مكلَّف أو مهنته، فمَن يعمل في مجال الهندسة أو القضاء أو المحاسبة أو غيرها من الوظائف والمِهن، يجب عليه أن يتعلّم الأحكام الشرعيّة الابتلائيّة في مجال عمله، وإلاّ عُدَّ مخالفاً فيما لو ابتلي بمورد أو حالة لا يعرف حكمها الشرعيّ.</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إنّ أهمّ ما طرحه الإسلام -كعقيدة ونظام- هو تحقيق العدل والقضاء على الظلم، وعن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w:t>
      </w:r>
    </w:p>
    <w:p w:rsidR="00724673" w:rsidRDefault="00724673">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«العدل ميزان الله في الأرض»</w:t>
      </w:r>
      <w:r w:rsidR="00BF1D51">
        <w:rPr>
          <w:rStyle w:val="FootnoteReference"/>
          <w:rFonts w:ascii="Adobe Arabic" w:eastAsia="Times New Roman" w:hAnsi="Adobe Arabic" w:cs="Adobe Arabic"/>
          <w:color w:val="000000"/>
          <w:sz w:val="32"/>
          <w:szCs w:val="32"/>
          <w:rtl/>
          <w:lang w:bidi="fa-IR"/>
        </w:rPr>
        <w:footnoteReference w:id="1"/>
      </w:r>
      <w:r w:rsidRPr="007E5C0E">
        <w:rPr>
          <w:rFonts w:ascii="Adobe Arabic" w:eastAsia="Times New Roman" w:hAnsi="Adobe Arabic" w:cs="Adobe Arabic"/>
          <w:color w:val="000000"/>
          <w:sz w:val="32"/>
          <w:szCs w:val="32"/>
          <w:rtl/>
          <w:lang w:bidi="fa-IR"/>
        </w:rPr>
        <w:t>. والتقاضي في الفقه الإسلاميّ يحكمه -من بدايته إلى نهايته في إصدار الحكم وتنفيذه- مبدأ عامّ، وهو تحقيق العدل بين المتخاصمين.</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وقد أجازت الشريعة المقدّسة الوكالة بالخصومة في الترافع والدفاع (المحاماة)، ووضعت لها شروطاً وأحكاماً.</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هذا الكتاب هو من ضمن سلسلة الفقه الموضوعيّ التي نصدرها دوريّاً، وقد أعددنا سلسلة تختصّ بفقه المِهن، وخصّصنا هذا الإصدار بمهنة المحاماة، ويبيّن هذا الكتيّب حكم مزاولة المهنة، وشروطها وآدابها، وجملة من أحكامها، آملين أن يلبّي الحاجة العمليّة لهذه الشريحة الأساسيّة في المجتمع.</w:t>
      </w:r>
    </w:p>
    <w:p w:rsidR="000A1A4A" w:rsidRDefault="000A1A4A" w:rsidP="00724673">
      <w:pPr>
        <w:spacing w:before="100" w:beforeAutospacing="1" w:after="100" w:afterAutospacing="1" w:line="240" w:lineRule="auto"/>
        <w:jc w:val="both"/>
        <w:rPr>
          <w:rFonts w:ascii="Adobe Arabic" w:eastAsia="Times New Roman" w:hAnsi="Adobe Arabic" w:cs="Adobe Arabic"/>
          <w:b/>
          <w:bCs/>
          <w:color w:val="94553C"/>
          <w:sz w:val="32"/>
          <w:szCs w:val="32"/>
          <w:rtl/>
          <w:lang w:bidi="fa-IR"/>
        </w:rPr>
      </w:pPr>
      <w:r w:rsidRPr="00724673">
        <w:rPr>
          <w:rFonts w:ascii="Adobe Arabic" w:eastAsia="Times New Roman" w:hAnsi="Adobe Arabic" w:cs="Adobe Arabic"/>
          <w:b/>
          <w:bCs/>
          <w:color w:val="94553C"/>
          <w:sz w:val="32"/>
          <w:szCs w:val="32"/>
          <w:rtl/>
          <w:lang w:bidi="fa-IR"/>
        </w:rPr>
        <w:t>والحمد للّه ربّ العالمين</w:t>
      </w:r>
    </w:p>
    <w:p w:rsidR="00724673" w:rsidRPr="00724673" w:rsidRDefault="00724673" w:rsidP="00724673">
      <w:pPr>
        <w:spacing w:before="100" w:beforeAutospacing="1" w:after="100" w:afterAutospacing="1" w:line="240" w:lineRule="auto"/>
        <w:jc w:val="both"/>
        <w:rPr>
          <w:rFonts w:ascii="Adobe Arabic" w:eastAsia="Times New Roman" w:hAnsi="Adobe Arabic" w:cs="Adobe Arabic"/>
          <w:b/>
          <w:bCs/>
          <w:color w:val="94553C"/>
          <w:sz w:val="32"/>
          <w:szCs w:val="32"/>
          <w:rtl/>
          <w:lang w:bidi="fa-IR"/>
        </w:rPr>
      </w:pPr>
      <w:r>
        <w:rPr>
          <w:rFonts w:ascii="Adobe Arabic" w:eastAsia="Times New Roman" w:hAnsi="Adobe Arabic" w:cs="Adobe Arabic" w:hint="cs"/>
          <w:b/>
          <w:bCs/>
          <w:color w:val="94553C"/>
          <w:sz w:val="32"/>
          <w:szCs w:val="32"/>
          <w:rtl/>
          <w:lang w:bidi="fa-IR"/>
        </w:rPr>
        <w:t>مركز المعارف للتأليف والتحقيق</w:t>
      </w:r>
    </w:p>
    <w:p w:rsidR="003B070C" w:rsidRDefault="003B07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A1A4A" w:rsidRPr="003B070C" w:rsidRDefault="000A1A4A" w:rsidP="00EE46C4">
      <w:pPr>
        <w:pStyle w:val="Heading1"/>
        <w:bidi/>
        <w:jc w:val="center"/>
        <w:rPr>
          <w:rFonts w:ascii="Adobe Arabic" w:eastAsia="Times New Roman" w:hAnsi="Adobe Arabic" w:cs="Adobe Arabic"/>
          <w:b/>
          <w:bCs/>
          <w:color w:val="94553C"/>
          <w:sz w:val="40"/>
          <w:szCs w:val="40"/>
          <w:rtl/>
        </w:rPr>
      </w:pPr>
      <w:bookmarkStart w:id="1" w:name="_Toc143687941"/>
      <w:r w:rsidRPr="003B070C">
        <w:rPr>
          <w:rFonts w:ascii="Adobe Arabic" w:eastAsia="Times New Roman" w:hAnsi="Adobe Arabic" w:cs="Adobe Arabic"/>
          <w:b/>
          <w:bCs/>
          <w:color w:val="94553C"/>
          <w:sz w:val="40"/>
          <w:szCs w:val="40"/>
          <w:rtl/>
        </w:rPr>
        <w:lastRenderedPageBreak/>
        <w:t>آداب المِهن والمعاملات</w:t>
      </w:r>
      <w:bookmarkEnd w:id="1"/>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لا بدّ قبل الخوض في غمار الأدبيّات والأخلاقيّات التي ينبغي لكلّ صاحب مهنة أن يتحلّى بها، من التأكيد على أنّ كلَّ فرد من أفراد المجتمع له دور بارز وأساس في تكوين البنية الاجتماعيّة الراقية والملتزمة بالمبادئ الإسلاميّة والإنسانيّة. وإنّ أصحاب المهن -على أشكالها- مطالبون بالتحلّي بتلك الآداب والأخلاقيّات في تعاملهم مع النّاس؛ بغية ضمان الأمن والسلام في مزاولة مهنتهم، وبغية الوصول إلى الهدف المنشود منها، ألا وهو خدمة النّاس وقضاء حوائجهم والعمل على تطوير العمل فيها. علاوة على الالتزام بما يرضي الله -سبحانه وتعالى- الذي أرشدنا من خلال كتابه الكريم وسنّة نبيّه المصطفى </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وآله الأطهار</w:t>
      </w:r>
      <w:r w:rsidR="00724673">
        <w:rPr>
          <w:rFonts w:ascii="Adobe Arabic" w:eastAsia="Times New Roman" w:hAnsi="Adobe Arabic" w:cs="Adobe Arabic"/>
          <w:color w:val="000000"/>
          <w:sz w:val="32"/>
          <w:szCs w:val="32"/>
          <w:rtl/>
          <w:lang w:bidi="fa-IR"/>
        </w:rPr>
        <w:t>(عليهم السلام)</w:t>
      </w:r>
      <w:r w:rsidRPr="007E5C0E">
        <w:rPr>
          <w:rFonts w:ascii="Adobe Arabic" w:eastAsia="Times New Roman" w:hAnsi="Adobe Arabic" w:cs="Adobe Arabic"/>
          <w:color w:val="000000"/>
          <w:sz w:val="32"/>
          <w:szCs w:val="32"/>
          <w:rtl/>
          <w:lang w:bidi="fa-IR"/>
        </w:rPr>
        <w:t> إلى أهمّيّة العمل وطلب الرزق وآداب ذلك. وسوف نورد عدداً من تلك الأخلاقيّات والأدبيّات ضمن العناوين الآتية:</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2" w:name="_Toc143687942"/>
      <w:r w:rsidRPr="00CB45DB">
        <w:rPr>
          <w:rFonts w:ascii="Adobe Arabic" w:eastAsia="Times New Roman" w:hAnsi="Adobe Arabic" w:cs="Adobe Arabic"/>
          <w:b/>
          <w:bCs/>
          <w:color w:val="323E4F" w:themeColor="text2" w:themeShade="BF"/>
          <w:sz w:val="36"/>
          <w:szCs w:val="36"/>
          <w:rtl/>
        </w:rPr>
        <w:t>أوّلاً: في طلب الرّزق والمال الحلال</w:t>
      </w:r>
      <w:bookmarkEnd w:id="2"/>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طلب الرزق والتعفّف عن الناس</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موسى الكاظم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«مَنْ طلب هذا الرزق من حلِّه ليعود به على نفسه وعياله، كان كالمجاهد في سبيل الله...»</w:t>
      </w:r>
      <w:r w:rsidR="00BF1D51">
        <w:rPr>
          <w:rStyle w:val="FootnoteReference"/>
          <w:rFonts w:ascii="Adobe Arabic" w:eastAsia="Times New Roman" w:hAnsi="Adobe Arabic" w:cs="Adobe Arabic"/>
          <w:color w:val="000000"/>
          <w:sz w:val="32"/>
          <w:szCs w:val="32"/>
          <w:rtl/>
          <w:lang w:bidi="fa-IR"/>
        </w:rPr>
        <w:footnoteReference w:id="2"/>
      </w:r>
      <w:r w:rsidRPr="007E5C0E">
        <w:rPr>
          <w:rFonts w:ascii="Adobe Arabic" w:eastAsia="Times New Roman" w:hAnsi="Adobe Arabic" w:cs="Adobe Arabic"/>
          <w:color w:val="000000"/>
          <w:sz w:val="32"/>
          <w:szCs w:val="32"/>
          <w:rtl/>
          <w:lang w:bidi="fa-IR"/>
        </w:rPr>
        <w:t>.</w:t>
      </w:r>
    </w:p>
    <w:p w:rsidR="00EE46C4" w:rsidRDefault="00EE46C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وعن الإمام الباقر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«مَنْ طلب الدنيا استعفافًا عن الناس وسعيًا على أهله، وتعطّفًا على جاره، لَقيَ الله -عزّ وجلّ- يوم القيامة ووجهه مثل القمر ليلة البدر»</w:t>
      </w:r>
      <w:r w:rsidR="00BF1D51">
        <w:rPr>
          <w:rStyle w:val="FootnoteReference"/>
          <w:rFonts w:ascii="Adobe Arabic" w:eastAsia="Times New Roman" w:hAnsi="Adobe Arabic" w:cs="Adobe Arabic"/>
          <w:color w:val="000000"/>
          <w:sz w:val="32"/>
          <w:szCs w:val="32"/>
          <w:rtl/>
          <w:lang w:bidi="fa-IR"/>
        </w:rPr>
        <w:footnoteReference w:id="3"/>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جمع المال من حلال لأجل النفقة في الطاعات</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«لا خيرَ في مَنْ لا يحبُّ جمع المال من حلال، يكفّ به وجهه، ويقضي به دينه، ويصل به رحمه»</w:t>
      </w:r>
      <w:r w:rsidR="00BF1D51">
        <w:rPr>
          <w:rStyle w:val="FootnoteReference"/>
          <w:rFonts w:ascii="Adobe Arabic" w:eastAsia="Times New Roman" w:hAnsi="Adobe Arabic" w:cs="Adobe Arabic"/>
          <w:color w:val="000000"/>
          <w:sz w:val="32"/>
          <w:szCs w:val="32"/>
          <w:rtl/>
          <w:lang w:bidi="fa-IR"/>
        </w:rPr>
        <w:footnoteReference w:id="4"/>
      </w:r>
      <w:r w:rsidRPr="007E5C0E">
        <w:rPr>
          <w:rFonts w:ascii="Adobe Arabic" w:eastAsia="Times New Roman" w:hAnsi="Adobe Arabic" w:cs="Adobe Arabic"/>
          <w:color w:val="000000"/>
          <w:sz w:val="32"/>
          <w:szCs w:val="32"/>
          <w:rtl/>
          <w:lang w:bidi="fa-IR"/>
        </w:rPr>
        <w:t>.</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 عبد الله بن أبي يعفور: قال رجلٌ لأبي عبد الله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واللهِ، إنّا لنطلب الدنيا، ونحبُّ أن نؤتاها، فقال: «تحبُّ أن تصنع بها ماذا؟» قال: أعود بها على نفسي وعيالي، وأصل بها، وأتصدّق بها، وأحجّ وأعتمر، فقال أبو عبد الله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«ليس هذا طلب الدنيا، هذا طلب الآخرة»</w:t>
      </w:r>
      <w:r w:rsidR="00BF1D51">
        <w:rPr>
          <w:rStyle w:val="FootnoteReference"/>
          <w:rFonts w:ascii="Adobe Arabic" w:eastAsia="Times New Roman" w:hAnsi="Adobe Arabic" w:cs="Adobe Arabic"/>
          <w:color w:val="000000"/>
          <w:sz w:val="32"/>
          <w:szCs w:val="32"/>
          <w:rtl/>
          <w:lang w:bidi="fa-IR"/>
        </w:rPr>
        <w:footnoteReference w:id="5"/>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3. الزهد في الحرام دون الحلال</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«ليس الزهد في الدنيا بإضاعة المال، ولا تحريم الحلال، بل الزهد في الدنيا أن لا تكون بما في يدك أوثق منك بما عند الله -عزّ وجلّ-»</w:t>
      </w:r>
      <w:r w:rsidR="00BF1D51">
        <w:rPr>
          <w:rStyle w:val="FootnoteReference"/>
          <w:rFonts w:ascii="Adobe Arabic" w:eastAsia="Times New Roman" w:hAnsi="Adobe Arabic" w:cs="Adobe Arabic"/>
          <w:color w:val="000000"/>
          <w:sz w:val="32"/>
          <w:szCs w:val="32"/>
          <w:rtl/>
          <w:lang w:bidi="fa-IR"/>
        </w:rPr>
        <w:footnoteReference w:id="6"/>
      </w:r>
      <w:r w:rsidRPr="007E5C0E">
        <w:rPr>
          <w:rFonts w:ascii="Adobe Arabic" w:eastAsia="Times New Roman" w:hAnsi="Adobe Arabic" w:cs="Adobe Arabic"/>
          <w:color w:val="000000"/>
          <w:sz w:val="32"/>
          <w:szCs w:val="32"/>
          <w:rtl/>
          <w:lang w:bidi="fa-IR"/>
        </w:rPr>
        <w:t>.</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أمير المؤمنين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«الزهد في الدنيا قصر الأمل، وشكر كلّ نعمة، والورع عن كلّ ما حرّم الله -عزّ وجلّ-»</w:t>
      </w:r>
      <w:r w:rsidR="00BF1D51">
        <w:rPr>
          <w:rStyle w:val="FootnoteReference"/>
          <w:rFonts w:ascii="Adobe Arabic" w:eastAsia="Times New Roman" w:hAnsi="Adobe Arabic" w:cs="Adobe Arabic"/>
          <w:color w:val="000000"/>
          <w:sz w:val="32"/>
          <w:szCs w:val="32"/>
          <w:rtl/>
          <w:lang w:bidi="fa-IR"/>
        </w:rPr>
        <w:footnoteReference w:id="7"/>
      </w:r>
      <w:r w:rsidRPr="007E5C0E">
        <w:rPr>
          <w:rFonts w:ascii="Adobe Arabic" w:eastAsia="Times New Roman" w:hAnsi="Adobe Arabic" w:cs="Adobe Arabic"/>
          <w:color w:val="000000"/>
          <w:sz w:val="32"/>
          <w:szCs w:val="32"/>
          <w:rtl/>
          <w:lang w:bidi="fa-IR"/>
        </w:rPr>
        <w:t>.</w:t>
      </w:r>
    </w:p>
    <w:p w:rsidR="00EE46C4" w:rsidRDefault="00EE46C4">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4. العمل باليد</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عليّ بن أبي حمزة، عن أبيه: رأيت أبا الحسن [الإمام الكاظم]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يعمل في أرضٍ له، قد استنقعت قدماه في العرق، فقلت: جُعلت فداك! أين الرجال؟ فقال: «يا عليّ، قد عمل باليد مَنْ هو خيرٌ منّي في أرضه ومن أبي»، فقلت: ومن هو؟ فقال: «رسول الله </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وأمير المؤمنين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وآبائي كلّهم، كانوا قد عملوا بأيديهم، وهو من عمل النبيّين والمرسلين والأوصياء والصالحين»</w:t>
      </w:r>
      <w:r w:rsidR="00BF1D51">
        <w:rPr>
          <w:rStyle w:val="FootnoteReference"/>
          <w:rFonts w:ascii="Adobe Arabic" w:eastAsia="Times New Roman" w:hAnsi="Adobe Arabic" w:cs="Adobe Arabic"/>
          <w:color w:val="000000"/>
          <w:sz w:val="32"/>
          <w:szCs w:val="32"/>
          <w:rtl/>
          <w:lang w:bidi="fa-IR"/>
        </w:rPr>
        <w:footnoteReference w:id="8"/>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5. الإجمال في طلب الرزق</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الباقر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«قال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في حجّة الوداع: ألا إنّ الروح الأمين نفث في رَوعي أنّه لا تموت نفسٌ حتّى تستكمل رزقها؛ فاتّقوا الله وأجملوا في الطلب، ولا يحملنَّكم استبطاء شيءٍ من الرزق أن تطلبوه بمعصية الله؛ فإنّ الله -تبارك وتعالى- قسّم الأرزاق بين خلقه حلالًا، ولم يقسّمها حرامًا، فمن اتّقى الله وصبر أتاه الله برزقه من حلِّه، ومن هتك حجاب الستر وعجّل فأخذه من غير حلهّ قصّ به من رزقه الحلال، وحوسب عليه يوم القيامة»</w:t>
      </w:r>
      <w:r w:rsidR="00BF1D51">
        <w:rPr>
          <w:rStyle w:val="FootnoteReference"/>
          <w:rFonts w:ascii="Adobe Arabic" w:eastAsia="Times New Roman" w:hAnsi="Adobe Arabic" w:cs="Adobe Arabic"/>
          <w:color w:val="000000"/>
          <w:sz w:val="32"/>
          <w:szCs w:val="32"/>
          <w:rtl/>
          <w:lang w:bidi="fa-IR"/>
        </w:rPr>
        <w:footnoteReference w:id="9"/>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6. الاقتصاد في طلب الرزق</w:t>
      </w:r>
    </w:p>
    <w:p w:rsidR="00EE46C4"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xml:space="preserve">: «ليكن طلبك للمعيشة فوق كسب المضيِّع، ودون طلب الحريص الراضي بدنياه، المطمئنّ إليها، ولكن أنزل نفسك من ذلك بمنزلة المنصِف المتعفِّف، ترع نفسك عن منزلة </w:t>
      </w:r>
    </w:p>
    <w:p w:rsidR="00EE46C4" w:rsidRDefault="00EE46C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الواهن الضعيف، وتَكتسبْ ما لابدَّ منه، إنّ الذين أعطوا المال ثمّ لم يشكروا لا مال لهم»</w:t>
      </w:r>
      <w:r w:rsidR="00BF1D51">
        <w:rPr>
          <w:rStyle w:val="FootnoteReference"/>
          <w:rFonts w:ascii="Adobe Arabic" w:eastAsia="Times New Roman" w:hAnsi="Adobe Arabic" w:cs="Adobe Arabic"/>
          <w:color w:val="000000"/>
          <w:sz w:val="32"/>
          <w:szCs w:val="32"/>
          <w:rtl/>
          <w:lang w:bidi="fa-IR"/>
        </w:rPr>
        <w:footnoteReference w:id="10"/>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7. الدعاء في طلب الرزق</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«إنّ الله -جلّ وعزّ- جعل أرزاق المؤمنين من حيث لم يحتسبوا؛ وذلك أنّ العبد إذا لم يعرف وجهَ رزقه كَثُر دعاؤه»</w:t>
      </w:r>
      <w:r w:rsidR="00BF1D51">
        <w:rPr>
          <w:rStyle w:val="FootnoteReference"/>
          <w:rFonts w:ascii="Adobe Arabic" w:eastAsia="Times New Roman" w:hAnsi="Adobe Arabic" w:cs="Adobe Arabic"/>
          <w:color w:val="000000"/>
          <w:sz w:val="32"/>
          <w:szCs w:val="32"/>
          <w:rtl/>
          <w:lang w:bidi="fa-IR"/>
        </w:rPr>
        <w:footnoteReference w:id="11"/>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8. الاقتصاد وتقدير المعيشة</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«يا عبيد، إنّ السرف يورث الفقر، وإنّ القصد يورث الغنى»</w:t>
      </w:r>
      <w:r w:rsidR="00BF1D51">
        <w:rPr>
          <w:rStyle w:val="FootnoteReference"/>
          <w:rFonts w:ascii="Adobe Arabic" w:eastAsia="Times New Roman" w:hAnsi="Adobe Arabic" w:cs="Adobe Arabic"/>
          <w:color w:val="000000"/>
          <w:sz w:val="32"/>
          <w:szCs w:val="32"/>
          <w:rtl/>
          <w:lang w:bidi="fa-IR"/>
        </w:rPr>
        <w:footnoteReference w:id="12"/>
      </w:r>
      <w:r w:rsidRPr="007E5C0E">
        <w:rPr>
          <w:rFonts w:ascii="Adobe Arabic" w:eastAsia="Times New Roman" w:hAnsi="Adobe Arabic" w:cs="Adobe Arabic"/>
          <w:color w:val="000000"/>
          <w:sz w:val="32"/>
          <w:szCs w:val="32"/>
          <w:rtl/>
          <w:lang w:bidi="fa-IR"/>
        </w:rPr>
        <w:t>.</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الكاظم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«ضمنت لمن اقتصد أن لا يفتقر»</w:t>
      </w:r>
      <w:r w:rsidR="00BF1D51">
        <w:rPr>
          <w:rStyle w:val="FootnoteReference"/>
          <w:rFonts w:ascii="Adobe Arabic" w:eastAsia="Times New Roman" w:hAnsi="Adobe Arabic" w:cs="Adobe Arabic"/>
          <w:color w:val="000000"/>
          <w:sz w:val="32"/>
          <w:szCs w:val="32"/>
          <w:rtl/>
          <w:lang w:bidi="fa-IR"/>
        </w:rPr>
        <w:footnoteReference w:id="13"/>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9. الكدّ على العيال من الرزق الحلال وفضله</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«الكادّ على عياله كالمجاهد في سبيل الله»</w:t>
      </w:r>
      <w:r w:rsidR="00BF1D51">
        <w:rPr>
          <w:rStyle w:val="FootnoteReference"/>
          <w:rFonts w:ascii="Adobe Arabic" w:eastAsia="Times New Roman" w:hAnsi="Adobe Arabic" w:cs="Adobe Arabic"/>
          <w:color w:val="000000"/>
          <w:sz w:val="32"/>
          <w:szCs w:val="32"/>
          <w:rtl/>
          <w:lang w:bidi="fa-IR"/>
        </w:rPr>
        <w:footnoteReference w:id="14"/>
      </w:r>
      <w:r w:rsidRPr="007E5C0E">
        <w:rPr>
          <w:rFonts w:ascii="Adobe Arabic" w:eastAsia="Times New Roman" w:hAnsi="Adobe Arabic" w:cs="Adobe Arabic"/>
          <w:color w:val="000000"/>
          <w:sz w:val="32"/>
          <w:szCs w:val="32"/>
          <w:rtl/>
          <w:lang w:bidi="fa-IR"/>
        </w:rPr>
        <w:t>.</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 الإمام الرضا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«الذي يطلب من فضل الله ما يكفّ به عياله أعظم أجرًا من المجاهد في سبيل الله -عزّ وجلّ-»</w:t>
      </w:r>
      <w:r w:rsidR="00BF1D51">
        <w:rPr>
          <w:rStyle w:val="FootnoteReference"/>
          <w:rFonts w:ascii="Adobe Arabic" w:eastAsia="Times New Roman" w:hAnsi="Adobe Arabic" w:cs="Adobe Arabic"/>
          <w:color w:val="000000"/>
          <w:sz w:val="32"/>
          <w:szCs w:val="32"/>
          <w:rtl/>
          <w:lang w:bidi="fa-IR"/>
        </w:rPr>
        <w:footnoteReference w:id="15"/>
      </w:r>
      <w:r w:rsidRPr="007E5C0E">
        <w:rPr>
          <w:rFonts w:ascii="Adobe Arabic" w:eastAsia="Times New Roman" w:hAnsi="Adobe Arabic" w:cs="Adobe Arabic"/>
          <w:color w:val="000000"/>
          <w:sz w:val="32"/>
          <w:szCs w:val="32"/>
          <w:rtl/>
          <w:lang w:bidi="fa-IR"/>
        </w:rPr>
        <w:t>.</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 الإمام الصادق</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«إذا كان الرجل معسرًا، يعمل بقدر ما يقوت به نفسه وأهله، لا يطلب حرامًا، فهو كالمجاهد في سبيل الله»</w:t>
      </w:r>
      <w:r w:rsidR="00BF1D51">
        <w:rPr>
          <w:rStyle w:val="FootnoteReference"/>
          <w:rFonts w:ascii="Adobe Arabic" w:eastAsia="Times New Roman" w:hAnsi="Adobe Arabic" w:cs="Adobe Arabic"/>
          <w:color w:val="000000"/>
          <w:sz w:val="32"/>
          <w:szCs w:val="32"/>
          <w:rtl/>
          <w:lang w:bidi="fa-IR"/>
        </w:rPr>
        <w:footnoteReference w:id="16"/>
      </w:r>
      <w:r w:rsidRPr="007E5C0E">
        <w:rPr>
          <w:rFonts w:ascii="Adobe Arabic" w:eastAsia="Times New Roman" w:hAnsi="Adobe Arabic" w:cs="Adobe Arabic"/>
          <w:color w:val="000000"/>
          <w:sz w:val="32"/>
          <w:szCs w:val="32"/>
          <w:rtl/>
          <w:lang w:bidi="fa-IR"/>
        </w:rPr>
        <w:t>.</w:t>
      </w:r>
    </w:p>
    <w:p w:rsidR="00EE46C4" w:rsidRDefault="00EE46C4">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10. الاقتصار على معاملة من نشأ في الخير</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«لا تخالطوا ولا تعاملوا إلّا من نشأ في الخير»</w:t>
      </w:r>
      <w:r w:rsidR="00BF1D51">
        <w:rPr>
          <w:rStyle w:val="FootnoteReference"/>
          <w:rFonts w:ascii="Adobe Arabic" w:eastAsia="Times New Roman" w:hAnsi="Adobe Arabic" w:cs="Adobe Arabic"/>
          <w:color w:val="000000"/>
          <w:sz w:val="32"/>
          <w:szCs w:val="32"/>
          <w:rtl/>
          <w:lang w:bidi="fa-IR"/>
        </w:rPr>
        <w:footnoteReference w:id="17"/>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11. التبكير في طلب الرزق</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«إنّي لأحبّ أن أرى الرجل متحرِّفًا في طلب الرزق، إنّ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قال: اللّهم بارك لأمّتي في بكورها»</w:t>
      </w:r>
      <w:r w:rsidR="00BF1D51">
        <w:rPr>
          <w:rStyle w:val="FootnoteReference"/>
          <w:rFonts w:ascii="Adobe Arabic" w:eastAsia="Times New Roman" w:hAnsi="Adobe Arabic" w:cs="Adobe Arabic"/>
          <w:color w:val="000000"/>
          <w:sz w:val="32"/>
          <w:szCs w:val="32"/>
          <w:rtl/>
          <w:lang w:bidi="fa-IR"/>
        </w:rPr>
        <w:footnoteReference w:id="18"/>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12. الذهاب في الحاجة على طهارة</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«من ذهب في حاجةٍ على غير وضوءٍ فلم تُقضَ حاجته، فلا يلومنَّ إلّا نفسه»</w:t>
      </w:r>
      <w:r w:rsidR="00BF1D51">
        <w:rPr>
          <w:rStyle w:val="FootnoteReference"/>
          <w:rFonts w:ascii="Adobe Arabic" w:eastAsia="Times New Roman" w:hAnsi="Adobe Arabic" w:cs="Adobe Arabic"/>
          <w:color w:val="000000"/>
          <w:sz w:val="32"/>
          <w:szCs w:val="32"/>
          <w:rtl/>
          <w:lang w:bidi="fa-IR"/>
        </w:rPr>
        <w:footnoteReference w:id="19"/>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13. التكسّب بأنواع المحرّمات</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«قال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إنّ أخوف ما أخاف على أمّتي من بعدي هذه المكاسب الحرام، والشهوة الخفيّة، والربا»</w:t>
      </w:r>
      <w:r w:rsidR="00BF1D51">
        <w:rPr>
          <w:rStyle w:val="FootnoteReference"/>
          <w:rFonts w:ascii="Adobe Arabic" w:eastAsia="Times New Roman" w:hAnsi="Adobe Arabic" w:cs="Adobe Arabic"/>
          <w:color w:val="000000"/>
          <w:sz w:val="32"/>
          <w:szCs w:val="32"/>
          <w:rtl/>
          <w:lang w:bidi="fa-IR"/>
        </w:rPr>
        <w:footnoteReference w:id="20"/>
      </w:r>
      <w:r w:rsidRPr="007E5C0E">
        <w:rPr>
          <w:rFonts w:ascii="Adobe Arabic" w:eastAsia="Times New Roman" w:hAnsi="Adobe Arabic" w:cs="Adobe Arabic"/>
          <w:color w:val="000000"/>
          <w:sz w:val="32"/>
          <w:szCs w:val="32"/>
          <w:rtl/>
          <w:lang w:bidi="fa-IR"/>
        </w:rPr>
        <w:t>.</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«كسب الحرام يَبِين في الذريّة»</w:t>
      </w:r>
      <w:r w:rsidR="00BF1D51">
        <w:rPr>
          <w:rStyle w:val="FootnoteReference"/>
          <w:rFonts w:ascii="Adobe Arabic" w:eastAsia="Times New Roman" w:hAnsi="Adobe Arabic" w:cs="Adobe Arabic"/>
          <w:color w:val="000000"/>
          <w:sz w:val="32"/>
          <w:szCs w:val="32"/>
          <w:rtl/>
          <w:lang w:bidi="fa-IR"/>
        </w:rPr>
        <w:footnoteReference w:id="21"/>
      </w:r>
      <w:r w:rsidRPr="007E5C0E">
        <w:rPr>
          <w:rFonts w:ascii="Adobe Arabic" w:eastAsia="Times New Roman" w:hAnsi="Adobe Arabic" w:cs="Adobe Arabic"/>
          <w:color w:val="000000"/>
          <w:sz w:val="32"/>
          <w:szCs w:val="32"/>
          <w:rtl/>
          <w:lang w:bidi="fa-IR"/>
        </w:rPr>
        <w:t>.</w:t>
      </w:r>
    </w:p>
    <w:p w:rsidR="00EE46C4" w:rsidRDefault="00EE46C4">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14. معونة الظالمين وطلب ما في أيديهم من الظلم</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علي زين العابدين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«إيّاكم وصحبة العاصين ومعونة الظالمين!»</w:t>
      </w:r>
      <w:r w:rsidR="00BF1D51">
        <w:rPr>
          <w:rStyle w:val="FootnoteReference"/>
          <w:rFonts w:ascii="Adobe Arabic" w:eastAsia="Times New Roman" w:hAnsi="Adobe Arabic" w:cs="Adobe Arabic"/>
          <w:color w:val="000000"/>
          <w:sz w:val="32"/>
          <w:szCs w:val="32"/>
          <w:rtl/>
          <w:lang w:bidi="fa-IR"/>
        </w:rPr>
        <w:footnoteReference w:id="22"/>
      </w:r>
      <w:r w:rsidRPr="007E5C0E">
        <w:rPr>
          <w:rFonts w:ascii="Adobe Arabic" w:eastAsia="Times New Roman" w:hAnsi="Adobe Arabic" w:cs="Adobe Arabic"/>
          <w:color w:val="000000"/>
          <w:sz w:val="32"/>
          <w:szCs w:val="32"/>
          <w:rtl/>
          <w:lang w:bidi="fa-IR"/>
        </w:rPr>
        <w:t>.</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«العامل بالظلم والمعين له والراضي به، شركاء ثلاثتهم»</w:t>
      </w:r>
      <w:r w:rsidR="00BF1D51">
        <w:rPr>
          <w:rStyle w:val="FootnoteReference"/>
          <w:rFonts w:ascii="Adobe Arabic" w:eastAsia="Times New Roman" w:hAnsi="Adobe Arabic" w:cs="Adobe Arabic"/>
          <w:color w:val="000000"/>
          <w:sz w:val="32"/>
          <w:szCs w:val="32"/>
          <w:rtl/>
          <w:lang w:bidi="fa-IR"/>
        </w:rPr>
        <w:footnoteReference w:id="23"/>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15. الغشّ في المعاملة</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 </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«ألا ومن غشّ مسلمًا فليس منّا». قالها ثلاث مرّاتٍ، إلى أن قال: «ومن غشّ أخاه المسلم نزع الله منه بركة رزقه، وأفسد عليه معيشته ووكّله إلى نفسه»</w:t>
      </w:r>
      <w:r w:rsidR="00BF1D51">
        <w:rPr>
          <w:rStyle w:val="FootnoteReference"/>
          <w:rFonts w:ascii="Adobe Arabic" w:eastAsia="Times New Roman" w:hAnsi="Adobe Arabic" w:cs="Adobe Arabic"/>
          <w:color w:val="000000"/>
          <w:sz w:val="32"/>
          <w:szCs w:val="32"/>
          <w:rtl/>
          <w:lang w:bidi="fa-IR"/>
        </w:rPr>
        <w:footnoteReference w:id="24"/>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16. الخيانة</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 </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 وليس منّا من خان مسلماً في أهله وماله»</w:t>
      </w:r>
      <w:r w:rsidR="00BF1D51">
        <w:rPr>
          <w:rStyle w:val="FootnoteReference"/>
          <w:rFonts w:ascii="Adobe Arabic" w:eastAsia="Times New Roman" w:hAnsi="Adobe Arabic" w:cs="Adobe Arabic"/>
          <w:color w:val="000000"/>
          <w:sz w:val="32"/>
          <w:szCs w:val="32"/>
          <w:rtl/>
          <w:lang w:bidi="fa-IR"/>
        </w:rPr>
        <w:footnoteReference w:id="25"/>
      </w:r>
      <w:r w:rsidRPr="007E5C0E">
        <w:rPr>
          <w:rFonts w:ascii="Adobe Arabic" w:eastAsia="Times New Roman" w:hAnsi="Adobe Arabic" w:cs="Adobe Arabic"/>
          <w:color w:val="000000"/>
          <w:sz w:val="32"/>
          <w:szCs w:val="32"/>
          <w:rtl/>
          <w:lang w:bidi="fa-IR"/>
        </w:rPr>
        <w:t>.</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3" w:name="_Toc143687943"/>
      <w:r w:rsidRPr="00CB45DB">
        <w:rPr>
          <w:rFonts w:ascii="Adobe Arabic" w:eastAsia="Times New Roman" w:hAnsi="Adobe Arabic" w:cs="Adobe Arabic"/>
          <w:b/>
          <w:bCs/>
          <w:color w:val="323E4F" w:themeColor="text2" w:themeShade="BF"/>
          <w:sz w:val="36"/>
          <w:szCs w:val="36"/>
          <w:rtl/>
        </w:rPr>
        <w:t>ثانياً: في الصفات الأخلاقيّة</w:t>
      </w:r>
      <w:bookmarkEnd w:id="3"/>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الإخلاص</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«إنّ لكلّ حقّ حقيقة، وما بلغ عبد حقيقة الإخلاص حتّى لا يحبّ أن يُحمَد على شيء من عملٍ لله»</w:t>
      </w:r>
      <w:r w:rsidR="00BF1D51">
        <w:rPr>
          <w:rStyle w:val="FootnoteReference"/>
          <w:rFonts w:ascii="Adobe Arabic" w:eastAsia="Times New Roman" w:hAnsi="Adobe Arabic" w:cs="Adobe Arabic"/>
          <w:color w:val="000000"/>
          <w:sz w:val="32"/>
          <w:szCs w:val="32"/>
          <w:rtl/>
          <w:lang w:bidi="fa-IR"/>
        </w:rPr>
        <w:footnoteReference w:id="26"/>
      </w:r>
      <w:r w:rsidRPr="007E5C0E">
        <w:rPr>
          <w:rFonts w:ascii="Adobe Arabic" w:eastAsia="Times New Roman" w:hAnsi="Adobe Arabic" w:cs="Adobe Arabic"/>
          <w:color w:val="000000"/>
          <w:sz w:val="32"/>
          <w:szCs w:val="32"/>
          <w:rtl/>
          <w:lang w:bidi="fa-IR"/>
        </w:rPr>
        <w:t>.</w:t>
      </w:r>
    </w:p>
    <w:p w:rsidR="00EE46C4" w:rsidRDefault="00EE46C4">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2. الصدق</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«أوصيكم بستّ خصال: اصدقوا، فإنّ الصادق على شفا منجاة، وإلّا قولوا خيراً تُعرفوا به، واعملوا الخير، تكونوا من أهله، وأدّوا الأمانة إلى من ائتمنكم، وصِلوا من قطعكم، وعودوا بالفضل على من جهِل عليكم»</w:t>
      </w:r>
      <w:r w:rsidR="00BF1D51">
        <w:rPr>
          <w:rStyle w:val="FootnoteReference"/>
          <w:rFonts w:ascii="Adobe Arabic" w:eastAsia="Times New Roman" w:hAnsi="Adobe Arabic" w:cs="Adobe Arabic"/>
          <w:color w:val="000000"/>
          <w:sz w:val="32"/>
          <w:szCs w:val="32"/>
          <w:rtl/>
          <w:lang w:bidi="fa-IR"/>
        </w:rPr>
        <w:footnoteReference w:id="27"/>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3. الوفاء بالوعد</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«من كان يؤمن بالله واليوم الآخر، فليفِ إذا وعد»</w:t>
      </w:r>
      <w:r w:rsidR="00BF1D51">
        <w:rPr>
          <w:rStyle w:val="FootnoteReference"/>
          <w:rFonts w:ascii="Adobe Arabic" w:eastAsia="Times New Roman" w:hAnsi="Adobe Arabic" w:cs="Adobe Arabic"/>
          <w:color w:val="000000"/>
          <w:sz w:val="32"/>
          <w:szCs w:val="32"/>
          <w:rtl/>
          <w:lang w:bidi="fa-IR"/>
        </w:rPr>
        <w:footnoteReference w:id="28"/>
      </w:r>
      <w:r w:rsidRPr="007E5C0E">
        <w:rPr>
          <w:rFonts w:ascii="Adobe Arabic" w:eastAsia="Times New Roman" w:hAnsi="Adobe Arabic" w:cs="Adobe Arabic"/>
          <w:color w:val="000000"/>
          <w:sz w:val="32"/>
          <w:szCs w:val="32"/>
          <w:rtl/>
          <w:lang w:bidi="fa-IR"/>
        </w:rPr>
        <w:t>.</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أيضاً</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«لا إيمانَ لمن لا أمانة له، ولا دينَ لمن لا عهد له، ولا صلاةَ لمن لا يتمّ ركوعها وسجودها»</w:t>
      </w:r>
      <w:r w:rsidR="00BF1D51">
        <w:rPr>
          <w:rStyle w:val="FootnoteReference"/>
          <w:rFonts w:ascii="Adobe Arabic" w:eastAsia="Times New Roman" w:hAnsi="Adobe Arabic" w:cs="Adobe Arabic"/>
          <w:color w:val="000000"/>
          <w:sz w:val="32"/>
          <w:szCs w:val="32"/>
          <w:rtl/>
          <w:lang w:bidi="fa-IR"/>
        </w:rPr>
        <w:footnoteReference w:id="29"/>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4. حسن الخُلُق</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 </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«طوبى لمن حَسُن مع الناس خُلُقه، وبذل لهم معونته، وعدل عنهم شرّه...»</w:t>
      </w:r>
      <w:r w:rsidR="00BF1D51">
        <w:rPr>
          <w:rStyle w:val="FootnoteReference"/>
          <w:rFonts w:ascii="Adobe Arabic" w:eastAsia="Times New Roman" w:hAnsi="Adobe Arabic" w:cs="Adobe Arabic"/>
          <w:color w:val="000000"/>
          <w:sz w:val="32"/>
          <w:szCs w:val="32"/>
          <w:rtl/>
          <w:lang w:bidi="fa-IR"/>
        </w:rPr>
        <w:footnoteReference w:id="30"/>
      </w:r>
      <w:r w:rsidRPr="007E5C0E">
        <w:rPr>
          <w:rFonts w:ascii="Adobe Arabic" w:eastAsia="Times New Roman" w:hAnsi="Adobe Arabic" w:cs="Adobe Arabic"/>
          <w:color w:val="000000"/>
          <w:sz w:val="32"/>
          <w:szCs w:val="32"/>
          <w:rtl/>
          <w:lang w:bidi="fa-IR"/>
        </w:rPr>
        <w:t>.</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الباقر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«إنّ أكمل المؤمنين إيماناً أحسنهم خُلُقاً»</w:t>
      </w:r>
      <w:r w:rsidR="00BF1D51">
        <w:rPr>
          <w:rStyle w:val="FootnoteReference"/>
          <w:rFonts w:ascii="Adobe Arabic" w:eastAsia="Times New Roman" w:hAnsi="Adobe Arabic" w:cs="Adobe Arabic"/>
          <w:color w:val="000000"/>
          <w:sz w:val="32"/>
          <w:szCs w:val="32"/>
          <w:rtl/>
          <w:lang w:bidi="fa-IR"/>
        </w:rPr>
        <w:footnoteReference w:id="31"/>
      </w:r>
      <w:r w:rsidRPr="007E5C0E">
        <w:rPr>
          <w:rFonts w:ascii="Adobe Arabic" w:eastAsia="Times New Roman" w:hAnsi="Adobe Arabic" w:cs="Adobe Arabic"/>
          <w:color w:val="000000"/>
          <w:sz w:val="32"/>
          <w:szCs w:val="32"/>
          <w:rtl/>
          <w:lang w:bidi="fa-IR"/>
        </w:rPr>
        <w:t>.</w:t>
      </w:r>
    </w:p>
    <w:p w:rsidR="00EE46C4" w:rsidRDefault="00EE46C4">
      <w:pPr>
        <w:rPr>
          <w:rFonts w:ascii="Adobe Arabic" w:eastAsia="Times New Roman" w:hAnsi="Adobe Arabic" w:cs="Adobe Arabic"/>
          <w:b/>
          <w:bCs/>
          <w:color w:val="323E4F" w:themeColor="text2" w:themeShade="BF"/>
          <w:sz w:val="36"/>
          <w:szCs w:val="36"/>
          <w:rtl/>
        </w:rPr>
      </w:pPr>
      <w:bookmarkStart w:id="4" w:name="_Toc143687944"/>
      <w:r>
        <w:rPr>
          <w:rFonts w:ascii="Adobe Arabic" w:eastAsia="Times New Roman" w:hAnsi="Adobe Arabic" w:cs="Adobe Arabic"/>
          <w:b/>
          <w:bCs/>
          <w:color w:val="323E4F" w:themeColor="text2" w:themeShade="BF"/>
          <w:sz w:val="36"/>
          <w:szCs w:val="36"/>
          <w:rtl/>
        </w:rPr>
        <w:br w:type="page"/>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r w:rsidRPr="00CB45DB">
        <w:rPr>
          <w:rFonts w:ascii="Adobe Arabic" w:eastAsia="Times New Roman" w:hAnsi="Adobe Arabic" w:cs="Adobe Arabic"/>
          <w:b/>
          <w:bCs/>
          <w:color w:val="323E4F" w:themeColor="text2" w:themeShade="BF"/>
          <w:sz w:val="36"/>
          <w:szCs w:val="36"/>
          <w:rtl/>
        </w:rPr>
        <w:lastRenderedPageBreak/>
        <w:t>ثالثاً: في التعامل مع الناس</w:t>
      </w:r>
      <w:bookmarkEnd w:id="4"/>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مدارة الناس</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«رأس العقل بعد الإيمان بالله مداراة الناس في غير ترك حقّ... »</w:t>
      </w:r>
      <w:r w:rsidR="00BF1D51">
        <w:rPr>
          <w:rStyle w:val="FootnoteReference"/>
          <w:rFonts w:ascii="Adobe Arabic" w:eastAsia="Times New Roman" w:hAnsi="Adobe Arabic" w:cs="Adobe Arabic"/>
          <w:color w:val="000000"/>
          <w:sz w:val="32"/>
          <w:szCs w:val="32"/>
          <w:rtl/>
          <w:lang w:bidi="fa-IR"/>
        </w:rPr>
        <w:footnoteReference w:id="32"/>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نفع المؤمنين</w:t>
      </w:r>
    </w:p>
    <w:p w:rsidR="000A1A4A" w:rsidRPr="007E5C0E" w:rsidRDefault="000A1A4A" w:rsidP="00BF1D51">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«قال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الخلق عيال الله، فأحبُّ الخلق إلى الله من نفع عيال الله، وأدخل على أهل بيتٍ سرورًا»</w:t>
      </w:r>
      <w:r w:rsidR="00BF1D51">
        <w:rPr>
          <w:rStyle w:val="FootnoteReference"/>
          <w:rFonts w:ascii="Adobe Arabic" w:eastAsia="Times New Roman" w:hAnsi="Adobe Arabic" w:cs="Adobe Arabic"/>
          <w:color w:val="000000"/>
          <w:sz w:val="32"/>
          <w:szCs w:val="32"/>
          <w:rtl/>
          <w:lang w:bidi="fa-IR"/>
        </w:rPr>
        <w:footnoteReference w:id="33"/>
      </w:r>
      <w:r w:rsidRPr="007E5C0E">
        <w:rPr>
          <w:rFonts w:ascii="Adobe Arabic" w:eastAsia="Times New Roman" w:hAnsi="Adobe Arabic" w:cs="Adobe Arabic"/>
          <w:color w:val="000000"/>
          <w:sz w:val="32"/>
          <w:szCs w:val="32"/>
          <w:rtl/>
          <w:lang w:bidi="fa-IR"/>
        </w:rPr>
        <w:t>.</w:t>
      </w:r>
    </w:p>
    <w:p w:rsidR="000A1A4A" w:rsidRPr="007E5C0E" w:rsidRDefault="000A1A4A" w:rsidP="00D56414">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أيضاً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«سُئل رسول الله</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مَنْ أَحبُّ الناس إلى الله؟ قال: أنفع الناس للناس»</w:t>
      </w:r>
      <w:r w:rsidR="00D56414">
        <w:rPr>
          <w:rStyle w:val="FootnoteReference"/>
          <w:rFonts w:ascii="Adobe Arabic" w:eastAsia="Times New Roman" w:hAnsi="Adobe Arabic" w:cs="Adobe Arabic"/>
          <w:color w:val="000000"/>
          <w:sz w:val="32"/>
          <w:szCs w:val="32"/>
          <w:rtl/>
          <w:lang w:bidi="fa-IR"/>
        </w:rPr>
        <w:footnoteReference w:id="34"/>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3. قضاء حاجة المؤمن والاهتمام بها</w:t>
      </w:r>
    </w:p>
    <w:p w:rsidR="000A1A4A" w:rsidRPr="007E5C0E" w:rsidRDefault="000A1A4A" w:rsidP="00D56414">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الباقر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«إنّ المؤمن لَترِدُ عليه الحاجة لأخيه فلا تكون عنده، فيهتمُّ بها قلبُه، فيدخله الله -تبارك وتعالى- بهمّه الجنّة»</w:t>
      </w:r>
      <w:r w:rsidR="00D56414">
        <w:rPr>
          <w:rStyle w:val="FootnoteReference"/>
          <w:rFonts w:ascii="Adobe Arabic" w:eastAsia="Times New Roman" w:hAnsi="Adobe Arabic" w:cs="Adobe Arabic"/>
          <w:color w:val="000000"/>
          <w:sz w:val="32"/>
          <w:szCs w:val="32"/>
          <w:rtl/>
          <w:lang w:bidi="fa-IR"/>
        </w:rPr>
        <w:footnoteReference w:id="35"/>
      </w:r>
      <w:r w:rsidRPr="007E5C0E">
        <w:rPr>
          <w:rFonts w:ascii="Adobe Arabic" w:eastAsia="Times New Roman" w:hAnsi="Adobe Arabic" w:cs="Adobe Arabic"/>
          <w:color w:val="000000"/>
          <w:sz w:val="32"/>
          <w:szCs w:val="32"/>
          <w:rtl/>
          <w:lang w:bidi="fa-IR"/>
        </w:rPr>
        <w:t>.</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5" w:name="_Toc143687945"/>
      <w:r w:rsidRPr="00CB45DB">
        <w:rPr>
          <w:rFonts w:ascii="Adobe Arabic" w:eastAsia="Times New Roman" w:hAnsi="Adobe Arabic" w:cs="Adobe Arabic"/>
          <w:b/>
          <w:bCs/>
          <w:color w:val="323E4F" w:themeColor="text2" w:themeShade="BF"/>
          <w:sz w:val="36"/>
          <w:szCs w:val="36"/>
          <w:rtl/>
        </w:rPr>
        <w:t>رابعاً: في الإقراض والدين</w:t>
      </w:r>
      <w:bookmarkEnd w:id="5"/>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إقراض المؤمن</w:t>
      </w:r>
    </w:p>
    <w:p w:rsidR="00EE46C4"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الصادق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xml:space="preserve">: «لأن أقرض قرضًا، أحبُّ إليَّ من أن أتصدّق بمثله». وكان يقول: «من أقرض قرضًا وضرب له أجلًا فلم </w:t>
      </w:r>
    </w:p>
    <w:p w:rsidR="00EE46C4" w:rsidRDefault="00EE46C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D56414">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يؤتَ به عند ذلك الأجل، كان له من الثواب في كلِّ يومٍ يتأخّر عن ذلك الأجل بمثل صدقة دينارٍ واحدٍ في كلّ يوم»</w:t>
      </w:r>
      <w:r w:rsidR="00D56414">
        <w:rPr>
          <w:rStyle w:val="FootnoteReference"/>
          <w:rFonts w:ascii="Adobe Arabic" w:eastAsia="Times New Roman" w:hAnsi="Adobe Arabic" w:cs="Adobe Arabic"/>
          <w:color w:val="000000"/>
          <w:sz w:val="32"/>
          <w:szCs w:val="32"/>
          <w:rtl/>
          <w:lang w:bidi="fa-IR"/>
        </w:rPr>
        <w:footnoteReference w:id="36"/>
      </w:r>
      <w:r w:rsidRPr="007E5C0E">
        <w:rPr>
          <w:rFonts w:ascii="Adobe Arabic" w:eastAsia="Times New Roman" w:hAnsi="Adobe Arabic" w:cs="Adobe Arabic"/>
          <w:color w:val="000000"/>
          <w:sz w:val="32"/>
          <w:szCs w:val="32"/>
          <w:rtl/>
          <w:lang w:bidi="fa-IR"/>
        </w:rPr>
        <w:t>.</w:t>
      </w:r>
    </w:p>
    <w:p w:rsidR="000A1A4A" w:rsidRPr="007E5C0E" w:rsidRDefault="000A1A4A" w:rsidP="00D56414">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أيضاً: «ما من مسلمٍ أقرض مسلمًا قرضًا حسنًا يريد به وجه الله، إلّا حسب له أجرها كحساب الصدقة حتّى يرجع إليه»</w:t>
      </w:r>
      <w:r w:rsidR="00D56414">
        <w:rPr>
          <w:rStyle w:val="FootnoteReference"/>
          <w:rFonts w:ascii="Adobe Arabic" w:eastAsia="Times New Roman" w:hAnsi="Adobe Arabic" w:cs="Adobe Arabic"/>
          <w:color w:val="000000"/>
          <w:sz w:val="32"/>
          <w:szCs w:val="32"/>
          <w:rtl/>
          <w:lang w:bidi="fa-IR"/>
        </w:rPr>
        <w:footnoteReference w:id="37"/>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حبس الحقوق عن أهلها</w:t>
      </w:r>
    </w:p>
    <w:p w:rsidR="000A1A4A" w:rsidRPr="007E5C0E" w:rsidRDefault="000A1A4A" w:rsidP="00D56414">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عن الإمام الباقر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«من حبس حقّ امرئٍ مسلمٍ، وهو يقدر على أن يعطيه إيّاه، مخافة أنّه إن خرج ذلك الحقّ من يده أن يفتقر، كان الله -عزّ وجلّ- أقدر أن يفقره منه على أن يغني نفسه بحبس ذلك الحقّ»</w:t>
      </w:r>
      <w:r w:rsidR="00D56414">
        <w:rPr>
          <w:rStyle w:val="FootnoteReference"/>
          <w:rFonts w:ascii="Adobe Arabic" w:eastAsia="Times New Roman" w:hAnsi="Adobe Arabic" w:cs="Adobe Arabic"/>
          <w:color w:val="000000"/>
          <w:sz w:val="32"/>
          <w:szCs w:val="32"/>
          <w:rtl/>
          <w:lang w:bidi="fa-IR"/>
        </w:rPr>
        <w:footnoteReference w:id="38"/>
      </w:r>
      <w:r w:rsidRPr="007E5C0E">
        <w:rPr>
          <w:rFonts w:ascii="Adobe Arabic" w:eastAsia="Times New Roman" w:hAnsi="Adobe Arabic" w:cs="Adobe Arabic"/>
          <w:color w:val="000000"/>
          <w:sz w:val="32"/>
          <w:szCs w:val="32"/>
          <w:rtl/>
          <w:lang w:bidi="fa-IR"/>
        </w:rPr>
        <w:t>.</w:t>
      </w:r>
    </w:p>
    <w:p w:rsidR="003B070C" w:rsidRDefault="003B07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E46C4" w:rsidRDefault="00EE46C4">
      <w:pPr>
        <w:rPr>
          <w:rFonts w:ascii="Adobe Arabic" w:eastAsia="Times New Roman" w:hAnsi="Adobe Arabic" w:cs="Adobe Arabic"/>
          <w:b/>
          <w:bCs/>
          <w:color w:val="94553C"/>
          <w:sz w:val="40"/>
          <w:szCs w:val="40"/>
          <w:rtl/>
        </w:rPr>
      </w:pPr>
      <w:bookmarkStart w:id="6" w:name="_Toc143687946"/>
      <w:r>
        <w:rPr>
          <w:rFonts w:ascii="Adobe Arabic" w:eastAsia="Times New Roman" w:hAnsi="Adobe Arabic" w:cs="Adobe Arabic"/>
          <w:b/>
          <w:bCs/>
          <w:color w:val="94553C"/>
          <w:sz w:val="40"/>
          <w:szCs w:val="40"/>
          <w:rtl/>
        </w:rPr>
        <w:lastRenderedPageBreak/>
        <w:br w:type="page"/>
      </w:r>
    </w:p>
    <w:p w:rsidR="000A1A4A" w:rsidRPr="003B070C" w:rsidRDefault="000A1A4A" w:rsidP="00EE46C4">
      <w:pPr>
        <w:pStyle w:val="Heading1"/>
        <w:bidi/>
        <w:jc w:val="center"/>
        <w:rPr>
          <w:rFonts w:ascii="Adobe Arabic" w:eastAsia="Times New Roman" w:hAnsi="Adobe Arabic" w:cs="Adobe Arabic"/>
          <w:b/>
          <w:bCs/>
          <w:color w:val="94553C"/>
          <w:sz w:val="40"/>
          <w:szCs w:val="40"/>
        </w:rPr>
      </w:pPr>
      <w:r w:rsidRPr="003B070C">
        <w:rPr>
          <w:rFonts w:ascii="Adobe Arabic" w:eastAsia="Times New Roman" w:hAnsi="Adobe Arabic" w:cs="Adobe Arabic"/>
          <w:b/>
          <w:bCs/>
          <w:color w:val="94553C"/>
          <w:sz w:val="40"/>
          <w:szCs w:val="40"/>
          <w:rtl/>
        </w:rPr>
        <w:lastRenderedPageBreak/>
        <w:t>فقه المحاماة</w:t>
      </w:r>
      <w:bookmarkEnd w:id="6"/>
    </w:p>
    <w:p w:rsidR="00EE46C4" w:rsidRDefault="00EE46C4">
      <w:pPr>
        <w:rPr>
          <w:rFonts w:ascii="Adobe Arabic" w:eastAsia="Times New Roman" w:hAnsi="Adobe Arabic" w:cs="Adobe Arabic"/>
          <w:b/>
          <w:bCs/>
          <w:color w:val="94553C"/>
          <w:sz w:val="40"/>
          <w:szCs w:val="40"/>
          <w:rtl/>
        </w:rPr>
      </w:pPr>
      <w:bookmarkStart w:id="7" w:name="_Toc143687947"/>
      <w:r>
        <w:rPr>
          <w:rFonts w:ascii="Adobe Arabic" w:eastAsia="Times New Roman" w:hAnsi="Adobe Arabic" w:cs="Adobe Arabic"/>
          <w:b/>
          <w:bCs/>
          <w:color w:val="94553C"/>
          <w:sz w:val="40"/>
          <w:szCs w:val="40"/>
          <w:rtl/>
        </w:rPr>
        <w:br w:type="page"/>
      </w:r>
    </w:p>
    <w:p w:rsidR="00EE46C4" w:rsidRDefault="00EE46C4">
      <w:pPr>
        <w:rPr>
          <w:rFonts w:ascii="Adobe Arabic" w:eastAsia="Times New Roman" w:hAnsi="Adobe Arabic" w:cs="Adobe Arabic"/>
          <w:b/>
          <w:bCs/>
          <w:color w:val="94553C"/>
          <w:sz w:val="40"/>
          <w:szCs w:val="40"/>
          <w:rtl/>
        </w:rPr>
      </w:pPr>
      <w:r>
        <w:rPr>
          <w:rFonts w:ascii="Adobe Arabic" w:eastAsia="Times New Roman" w:hAnsi="Adobe Arabic" w:cs="Adobe Arabic"/>
          <w:b/>
          <w:bCs/>
          <w:color w:val="94553C"/>
          <w:sz w:val="40"/>
          <w:szCs w:val="40"/>
          <w:rtl/>
        </w:rPr>
        <w:lastRenderedPageBreak/>
        <w:br w:type="page"/>
      </w:r>
    </w:p>
    <w:p w:rsidR="000A1A4A" w:rsidRPr="003B070C" w:rsidRDefault="000A1A4A" w:rsidP="003B070C">
      <w:pPr>
        <w:pStyle w:val="Heading1"/>
        <w:bidi/>
        <w:jc w:val="both"/>
        <w:rPr>
          <w:rFonts w:ascii="Adobe Arabic" w:eastAsia="Times New Roman" w:hAnsi="Adobe Arabic" w:cs="Adobe Arabic"/>
          <w:b/>
          <w:bCs/>
          <w:color w:val="94553C"/>
          <w:sz w:val="40"/>
          <w:szCs w:val="40"/>
          <w:rtl/>
        </w:rPr>
      </w:pPr>
      <w:r w:rsidRPr="003B070C">
        <w:rPr>
          <w:rFonts w:ascii="Adobe Arabic" w:eastAsia="Times New Roman" w:hAnsi="Adobe Arabic" w:cs="Adobe Arabic"/>
          <w:b/>
          <w:bCs/>
          <w:color w:val="94553C"/>
          <w:sz w:val="40"/>
          <w:szCs w:val="40"/>
          <w:rtl/>
        </w:rPr>
        <w:lastRenderedPageBreak/>
        <w:t>مدخل</w:t>
      </w:r>
      <w:bookmarkEnd w:id="7"/>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إنّ أهمّ ما طرحه الإسلام، كعقيدة ونظام، هو تحقيق العدل والقضاء على الظلم، وهذا هدف إسلاميّ شامل، لا يقف عند أيّ حال من الأحوال ولا موقف من المواقف، ولا يقف البغض والحبّ والقرابة في وجه غايته مهما عظُمت، قال -تعالى-: </w:t>
      </w:r>
      <w:r w:rsidRPr="002525C5">
        <w:rPr>
          <w:rFonts w:ascii="Traditional Arabic" w:eastAsia="Times New Roman" w:hAnsi="Traditional Arabic" w:cs="Traditional Arabic"/>
          <w:b/>
          <w:bCs/>
          <w:color w:val="94553C"/>
          <w:sz w:val="32"/>
          <w:szCs w:val="32"/>
          <w:rtl/>
          <w:lang w:bidi="fa-IR"/>
        </w:rPr>
        <w:t>﴿إِنَّ</w:t>
      </w:r>
      <w:r w:rsidR="00724673">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b/>
          <w:bCs/>
          <w:color w:val="94553C"/>
          <w:sz w:val="32"/>
          <w:szCs w:val="32"/>
          <w:rtl/>
          <w:lang w:bidi="fa-IR"/>
        </w:rPr>
        <w:t>ٱللَّهَ يَأ</w:t>
      </w:r>
      <w:r w:rsidRPr="002525C5">
        <w:rPr>
          <w:rFonts w:ascii="Traditional Arabic" w:eastAsia="Times New Roman" w:hAnsi="Traditional Arabic" w:cs="Traditional Arabic" w:hint="cs"/>
          <w:b/>
          <w:bCs/>
          <w:color w:val="94553C"/>
          <w:sz w:val="32"/>
          <w:szCs w:val="32"/>
          <w:rtl/>
          <w:lang w:bidi="fa-IR"/>
        </w:rPr>
        <w:t>ۡمُرُ</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بِٱلۡعَدۡلِ</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وَٱلۡإِحۡسَٰنِ</w:t>
      </w:r>
      <w:r w:rsidRPr="002525C5">
        <w:rPr>
          <w:rFonts w:ascii="Traditional Arabic" w:eastAsia="Times New Roman" w:hAnsi="Traditional Arabic" w:cs="Traditional Arabic"/>
          <w:b/>
          <w:bCs/>
          <w:color w:val="94553C"/>
          <w:sz w:val="32"/>
          <w:szCs w:val="32"/>
          <w:rtl/>
          <w:lang w:bidi="fa-IR"/>
        </w:rPr>
        <w:t>﴾</w:t>
      </w:r>
      <w:r w:rsidR="0098604B">
        <w:rPr>
          <w:rStyle w:val="FootnoteReference"/>
          <w:rFonts w:ascii="Traditional Arabic" w:eastAsia="Times New Roman" w:hAnsi="Traditional Arabic" w:cs="Traditional Arabic"/>
          <w:b/>
          <w:bCs/>
          <w:color w:val="94553C"/>
          <w:sz w:val="32"/>
          <w:szCs w:val="32"/>
          <w:rtl/>
          <w:lang w:bidi="fa-IR"/>
        </w:rPr>
        <w:footnoteReference w:id="39"/>
      </w:r>
      <w:r w:rsidRPr="007E5C0E">
        <w:rPr>
          <w:rFonts w:ascii="Adobe Arabic" w:eastAsia="Times New Roman" w:hAnsi="Adobe Arabic" w:cs="Adobe Arabic"/>
          <w:color w:val="000000"/>
          <w:sz w:val="32"/>
          <w:szCs w:val="32"/>
          <w:rtl/>
          <w:lang w:bidi="fa-IR"/>
        </w:rPr>
        <w:t>، وقال: </w:t>
      </w:r>
      <w:r w:rsidRPr="002525C5">
        <w:rPr>
          <w:rFonts w:ascii="Traditional Arabic" w:eastAsia="Times New Roman" w:hAnsi="Traditional Arabic" w:cs="Traditional Arabic"/>
          <w:b/>
          <w:bCs/>
          <w:color w:val="94553C"/>
          <w:sz w:val="32"/>
          <w:szCs w:val="32"/>
          <w:rtl/>
          <w:lang w:bidi="fa-IR"/>
        </w:rPr>
        <w:t>﴿وَأُمِر</w:t>
      </w:r>
      <w:r w:rsidRPr="002525C5">
        <w:rPr>
          <w:rFonts w:ascii="Traditional Arabic" w:eastAsia="Times New Roman" w:hAnsi="Traditional Arabic" w:cs="Traditional Arabic" w:hint="cs"/>
          <w:b/>
          <w:bCs/>
          <w:color w:val="94553C"/>
          <w:sz w:val="32"/>
          <w:szCs w:val="32"/>
          <w:rtl/>
          <w:lang w:bidi="fa-IR"/>
        </w:rPr>
        <w:t>ۡتُ</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لِأَعۡدِلَ</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بَيۡنَكُمُۖ</w:t>
      </w:r>
      <w:r w:rsidRPr="002525C5">
        <w:rPr>
          <w:rFonts w:ascii="Traditional Arabic" w:eastAsia="Times New Roman" w:hAnsi="Traditional Arabic" w:cs="Traditional Arabic"/>
          <w:b/>
          <w:bCs/>
          <w:color w:val="94553C"/>
          <w:sz w:val="32"/>
          <w:szCs w:val="32"/>
          <w:rtl/>
          <w:lang w:bidi="fa-IR"/>
        </w:rPr>
        <w:t>﴾</w:t>
      </w:r>
      <w:r w:rsidR="0098604B">
        <w:rPr>
          <w:rStyle w:val="FootnoteReference"/>
          <w:rFonts w:ascii="Traditional Arabic" w:eastAsia="Times New Roman" w:hAnsi="Traditional Arabic" w:cs="Traditional Arabic"/>
          <w:b/>
          <w:bCs/>
          <w:color w:val="94553C"/>
          <w:sz w:val="32"/>
          <w:szCs w:val="32"/>
          <w:rtl/>
          <w:lang w:bidi="fa-IR"/>
        </w:rPr>
        <w:footnoteReference w:id="40"/>
      </w:r>
      <w:r w:rsidRPr="007E5C0E">
        <w:rPr>
          <w:rFonts w:ascii="Adobe Arabic" w:eastAsia="Times New Roman" w:hAnsi="Adobe Arabic" w:cs="Adobe Arabic"/>
          <w:color w:val="000000"/>
          <w:sz w:val="32"/>
          <w:szCs w:val="32"/>
          <w:rtl/>
          <w:lang w:bidi="fa-IR"/>
        </w:rPr>
        <w:t>.</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وقد كان الظلم عبر التاريخ البشريّ سببًا في هلاك أقوام غابرة، كما يذكر القرآن في قوله -تعالى-: </w:t>
      </w:r>
      <w:r w:rsidRPr="002525C5">
        <w:rPr>
          <w:rFonts w:ascii="Traditional Arabic" w:eastAsia="Times New Roman" w:hAnsi="Traditional Arabic" w:cs="Traditional Arabic"/>
          <w:b/>
          <w:bCs/>
          <w:color w:val="94553C"/>
          <w:sz w:val="32"/>
          <w:szCs w:val="32"/>
          <w:rtl/>
          <w:lang w:bidi="fa-IR"/>
        </w:rPr>
        <w:t>﴿وَتِل</w:t>
      </w:r>
      <w:r w:rsidRPr="002525C5">
        <w:rPr>
          <w:rFonts w:ascii="Traditional Arabic" w:eastAsia="Times New Roman" w:hAnsi="Traditional Arabic" w:cs="Traditional Arabic" w:hint="cs"/>
          <w:b/>
          <w:bCs/>
          <w:color w:val="94553C"/>
          <w:sz w:val="32"/>
          <w:szCs w:val="32"/>
          <w:rtl/>
          <w:lang w:bidi="fa-IR"/>
        </w:rPr>
        <w:t>ۡكَ</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ٱلۡقُرَىٰٓ</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أَهۡلَكۡنَٰهُمۡ</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لَمَّا</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ظَلَمُواْ</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وَجَعَلۡنَا</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لِمَهۡلِكِهِم</w:t>
      </w:r>
      <w:r w:rsidRPr="002525C5">
        <w:rPr>
          <w:rFonts w:ascii="Traditional Arabic" w:eastAsia="Times New Roman" w:hAnsi="Traditional Arabic" w:cs="Traditional Arabic"/>
          <w:b/>
          <w:bCs/>
          <w:color w:val="94553C"/>
          <w:sz w:val="32"/>
          <w:szCs w:val="32"/>
          <w:rtl/>
          <w:lang w:bidi="fa-IR"/>
        </w:rPr>
        <w:t xml:space="preserve"> </w:t>
      </w:r>
      <w:r w:rsidRPr="002525C5">
        <w:rPr>
          <w:rFonts w:ascii="Traditional Arabic" w:eastAsia="Times New Roman" w:hAnsi="Traditional Arabic" w:cs="Traditional Arabic" w:hint="cs"/>
          <w:b/>
          <w:bCs/>
          <w:color w:val="94553C"/>
          <w:sz w:val="32"/>
          <w:szCs w:val="32"/>
          <w:rtl/>
          <w:lang w:bidi="fa-IR"/>
        </w:rPr>
        <w:t>مَّوۡعِدا</w:t>
      </w:r>
      <w:r w:rsidRPr="002525C5">
        <w:rPr>
          <w:rFonts w:ascii="Traditional Arabic" w:eastAsia="Times New Roman" w:hAnsi="Traditional Arabic" w:cs="Traditional Arabic"/>
          <w:b/>
          <w:bCs/>
          <w:color w:val="94553C"/>
          <w:sz w:val="32"/>
          <w:szCs w:val="32"/>
          <w:rtl/>
          <w:lang w:bidi="fa-IR"/>
        </w:rPr>
        <w:t>﴾</w:t>
      </w:r>
      <w:r w:rsidR="0098604B">
        <w:rPr>
          <w:rStyle w:val="FootnoteReference"/>
          <w:rFonts w:ascii="Traditional Arabic" w:eastAsia="Times New Roman" w:hAnsi="Traditional Arabic" w:cs="Traditional Arabic"/>
          <w:b/>
          <w:bCs/>
          <w:color w:val="94553C"/>
          <w:sz w:val="32"/>
          <w:szCs w:val="32"/>
          <w:rtl/>
          <w:lang w:bidi="fa-IR"/>
        </w:rPr>
        <w:footnoteReference w:id="41"/>
      </w:r>
      <w:r w:rsidRPr="007E5C0E">
        <w:rPr>
          <w:rFonts w:ascii="Adobe Arabic" w:eastAsia="Times New Roman" w:hAnsi="Adobe Arabic" w:cs="Adobe Arabic"/>
          <w:color w:val="000000"/>
          <w:sz w:val="32"/>
          <w:szCs w:val="32"/>
          <w:rtl/>
          <w:lang w:bidi="fa-IR"/>
        </w:rPr>
        <w:t>.</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وفي السُنّة الشريفة أحاديث عدّة تأمر بالعدل وتنهى عن الظلم والجور، رُوي عن النبيّ محمّد </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أنّه قال: «العدل ميزان الله في الأرض، فمن أخذه قاده إلى الجنّة، ومن تركه ساقه إلى النار»</w:t>
      </w:r>
      <w:r w:rsidR="0098604B">
        <w:rPr>
          <w:rStyle w:val="FootnoteReference"/>
          <w:rFonts w:ascii="Adobe Arabic" w:eastAsia="Times New Roman" w:hAnsi="Adobe Arabic" w:cs="Adobe Arabic"/>
          <w:color w:val="000000"/>
          <w:sz w:val="32"/>
          <w:szCs w:val="32"/>
          <w:rtl/>
          <w:lang w:bidi="fa-IR"/>
        </w:rPr>
        <w:footnoteReference w:id="42"/>
      </w:r>
      <w:r w:rsidRPr="007E5C0E">
        <w:rPr>
          <w:rFonts w:ascii="Adobe Arabic" w:eastAsia="Times New Roman" w:hAnsi="Adobe Arabic" w:cs="Adobe Arabic"/>
          <w:color w:val="000000"/>
          <w:sz w:val="32"/>
          <w:szCs w:val="32"/>
          <w:rtl/>
          <w:lang w:bidi="fa-IR"/>
        </w:rPr>
        <w:t>.</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وعنه </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في تعظيم اجتناب الظلم: «ومن أصبح لا يهمّ بظلم أحد، غُفر له ما اجترم»</w:t>
      </w:r>
      <w:r w:rsidR="0098604B">
        <w:rPr>
          <w:rStyle w:val="FootnoteReference"/>
          <w:rFonts w:ascii="Adobe Arabic" w:eastAsia="Times New Roman" w:hAnsi="Adobe Arabic" w:cs="Adobe Arabic"/>
          <w:color w:val="000000"/>
          <w:sz w:val="32"/>
          <w:szCs w:val="32"/>
          <w:rtl/>
          <w:lang w:bidi="fa-IR"/>
        </w:rPr>
        <w:footnoteReference w:id="43"/>
      </w:r>
      <w:r w:rsidRPr="007E5C0E">
        <w:rPr>
          <w:rFonts w:ascii="Adobe Arabic" w:eastAsia="Times New Roman" w:hAnsi="Adobe Arabic" w:cs="Adobe Arabic"/>
          <w:color w:val="000000"/>
          <w:sz w:val="32"/>
          <w:szCs w:val="32"/>
          <w:rtl/>
          <w:lang w:bidi="fa-IR"/>
        </w:rPr>
        <w:t>.</w:t>
      </w:r>
    </w:p>
    <w:p w:rsidR="00EE46C4" w:rsidRDefault="00EE46C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وسُئِلَ أَمِيرُ الْمُؤْمِنِينَ </w:t>
      </w:r>
      <w:r w:rsidR="00724673">
        <w:rPr>
          <w:rFonts w:ascii="Adobe Arabic" w:eastAsia="Times New Roman" w:hAnsi="Adobe Arabic" w:cs="Adobe Arabic"/>
          <w:color w:val="000000"/>
          <w:sz w:val="32"/>
          <w:szCs w:val="32"/>
          <w:rtl/>
          <w:lang w:bidi="fa-IR"/>
        </w:rPr>
        <w:t>(عليه السلام)</w:t>
      </w:r>
      <w:r w:rsidRPr="007E5C0E">
        <w:rPr>
          <w:rFonts w:ascii="Adobe Arabic" w:eastAsia="Times New Roman" w:hAnsi="Adobe Arabic" w:cs="Adobe Arabic"/>
          <w:color w:val="000000"/>
          <w:sz w:val="32"/>
          <w:szCs w:val="32"/>
          <w:rtl/>
          <w:lang w:bidi="fa-IR"/>
        </w:rPr>
        <w:t> عَنِ الإِيمَانِ، فَقَالَ: «إنَّ اللَّه -عَزَّ وجَلَّ- جَعَلَ الإِيمَانَ عَلَى أَرْبَعِ دَعَائِمَ، عَلَى الصَّبْرِ والْيَقِينِ والْعَدْلِ والْجِهَادِ»</w:t>
      </w:r>
      <w:r w:rsidR="0098604B">
        <w:rPr>
          <w:rStyle w:val="FootnoteReference"/>
          <w:rFonts w:ascii="Adobe Arabic" w:eastAsia="Times New Roman" w:hAnsi="Adobe Arabic" w:cs="Adobe Arabic"/>
          <w:color w:val="000000"/>
          <w:sz w:val="32"/>
          <w:szCs w:val="32"/>
          <w:rtl/>
          <w:lang w:bidi="fa-IR"/>
        </w:rPr>
        <w:footnoteReference w:id="44"/>
      </w:r>
      <w:r w:rsidRPr="007E5C0E">
        <w:rPr>
          <w:rFonts w:ascii="Adobe Arabic" w:eastAsia="Times New Roman" w:hAnsi="Adobe Arabic" w:cs="Adobe Arabic"/>
          <w:color w:val="000000"/>
          <w:sz w:val="32"/>
          <w:szCs w:val="32"/>
          <w:rtl/>
          <w:lang w:bidi="fa-IR"/>
        </w:rPr>
        <w:t>.</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وإنّ التقاضي في الفقه الإسلاميّ يحكمه، من بدايته إلى نهايته، في إصدار الحكم وتنفيذه، مبدأ عامّ، وهو تحقيق العدل بين المتخاصمين.</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ولذلك نجده يوجب على القاضي المساواة بين المتخاصمين في سماع أقوالهم، وأيًّا كان المدّعي أو المدّعى عليه، فهما سواء أمام القاضي، وعليه الاستماع إليهما بأدقّ التفاصيل، حتّى لو كان المدّعى عليه ذا سلطةٍ ومَقامٍ اجتماعيّ، فهو أمام القاضي مساوٍ للفقير الضعيف مهما بلغ به الضعف في نظر المجتمع.</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بل إنّ ثمّة آدابًا كثيرة قد ذُكرت في أحاديث المعصومين </w:t>
      </w:r>
      <w:r w:rsidR="00724673">
        <w:rPr>
          <w:rFonts w:ascii="Adobe Arabic" w:eastAsia="Times New Roman" w:hAnsi="Adobe Arabic" w:cs="Adobe Arabic"/>
          <w:color w:val="000000"/>
          <w:sz w:val="32"/>
          <w:szCs w:val="32"/>
          <w:rtl/>
          <w:lang w:bidi="fa-IR"/>
        </w:rPr>
        <w:t>(عليهم السلام)</w:t>
      </w:r>
      <w:r w:rsidRPr="007E5C0E">
        <w:rPr>
          <w:rFonts w:ascii="Adobe Arabic" w:eastAsia="Times New Roman" w:hAnsi="Adobe Arabic" w:cs="Adobe Arabic"/>
          <w:color w:val="000000"/>
          <w:sz w:val="32"/>
          <w:szCs w:val="32"/>
          <w:rtl/>
          <w:lang w:bidi="fa-IR"/>
        </w:rPr>
        <w:t>، تتعلّق بكيفيّة تعامل القاضي مع المتخاصمين، حتّى في النظرات والمجلس ورفع الصوت وخفضه وما شاكل، وأن لا يقبل هديّة، ولا يستجيب دعوة وليمة من أحد، حتّى لا يقع في الحرج وما شابه، وغير ذلك ممّا ذُكر في الكتب المعنيّة بآداب القاضي، فهناك ما هو حرام عليه فعله، وهناك ما هو مكروه كذلك.</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وبالتّالي، فإنّ القاضي مأمور بإتاحة الفرصة لكلا طرفي الدعوى أو وكيليهما ليُقدّما ما لديهما من حجج.</w:t>
      </w:r>
    </w:p>
    <w:p w:rsidR="00EE46C4" w:rsidRDefault="00EE46C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والأصل في الدفاع أن يتولّى المتّهم الدفاعَ عن نفسه، وهذا حقّ شرعيّ له. وإن كان عاجزاً عن ذلك، فلا ينبغي اتّهامه أو إلصاق التهمة به ومحاكمته، ريثما تتّضح حاله، بل ربّما يكون في الحكم ظلم له فيما لو علم القاضي أنّ المتّهم لا قدرة له على الدفاع عن نفسه. ومن هذا المنطلق، صار في زماننا ما أصبح معروفًا بالمحاماة.</w:t>
      </w:r>
    </w:p>
    <w:p w:rsidR="00EE46C4" w:rsidRDefault="00EE46C4">
      <w:pPr>
        <w:rPr>
          <w:rFonts w:ascii="Adobe Arabic" w:eastAsia="Times New Roman" w:hAnsi="Adobe Arabic" w:cs="Adobe Arabic"/>
          <w:b/>
          <w:bCs/>
          <w:color w:val="94553C"/>
          <w:sz w:val="40"/>
          <w:szCs w:val="40"/>
          <w:rtl/>
        </w:rPr>
      </w:pPr>
      <w:bookmarkStart w:id="8" w:name="_Toc143687948"/>
      <w:r>
        <w:rPr>
          <w:rFonts w:ascii="Adobe Arabic" w:eastAsia="Times New Roman" w:hAnsi="Adobe Arabic" w:cs="Adobe Arabic"/>
          <w:b/>
          <w:bCs/>
          <w:color w:val="94553C"/>
          <w:sz w:val="40"/>
          <w:szCs w:val="40"/>
          <w:rtl/>
        </w:rPr>
        <w:br w:type="page"/>
      </w:r>
    </w:p>
    <w:p w:rsidR="00EE46C4" w:rsidRDefault="00EE46C4">
      <w:pPr>
        <w:rPr>
          <w:rFonts w:ascii="Adobe Arabic" w:eastAsia="Times New Roman" w:hAnsi="Adobe Arabic" w:cs="Adobe Arabic"/>
          <w:b/>
          <w:bCs/>
          <w:color w:val="94553C"/>
          <w:sz w:val="40"/>
          <w:szCs w:val="40"/>
          <w:rtl/>
        </w:rPr>
      </w:pPr>
      <w:r>
        <w:rPr>
          <w:rFonts w:ascii="Adobe Arabic" w:eastAsia="Times New Roman" w:hAnsi="Adobe Arabic" w:cs="Adobe Arabic"/>
          <w:b/>
          <w:bCs/>
          <w:color w:val="94553C"/>
          <w:sz w:val="40"/>
          <w:szCs w:val="40"/>
          <w:rtl/>
        </w:rPr>
        <w:lastRenderedPageBreak/>
        <w:br w:type="page"/>
      </w:r>
    </w:p>
    <w:p w:rsidR="000A1A4A" w:rsidRPr="003B070C" w:rsidRDefault="000A1A4A" w:rsidP="00EE46C4">
      <w:pPr>
        <w:pStyle w:val="Heading1"/>
        <w:bidi/>
        <w:jc w:val="center"/>
        <w:rPr>
          <w:rFonts w:ascii="Adobe Arabic" w:eastAsia="Times New Roman" w:hAnsi="Adobe Arabic" w:cs="Adobe Arabic"/>
          <w:b/>
          <w:bCs/>
          <w:color w:val="94553C"/>
          <w:sz w:val="40"/>
          <w:szCs w:val="40"/>
          <w:rtl/>
        </w:rPr>
      </w:pPr>
      <w:r w:rsidRPr="003B070C">
        <w:rPr>
          <w:rFonts w:ascii="Adobe Arabic" w:eastAsia="Times New Roman" w:hAnsi="Adobe Arabic" w:cs="Adobe Arabic"/>
          <w:b/>
          <w:bCs/>
          <w:color w:val="94553C"/>
          <w:sz w:val="40"/>
          <w:szCs w:val="40"/>
          <w:rtl/>
        </w:rPr>
        <w:lastRenderedPageBreak/>
        <w:t>الوكالة بالخصومة (المحاماة) وأحكامها</w:t>
      </w:r>
      <w:bookmarkEnd w:id="8"/>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9" w:name="_Toc143687949"/>
      <w:r w:rsidRPr="00CB45DB">
        <w:rPr>
          <w:rFonts w:ascii="Adobe Arabic" w:eastAsia="Times New Roman" w:hAnsi="Adobe Arabic" w:cs="Adobe Arabic"/>
          <w:b/>
          <w:bCs/>
          <w:color w:val="323E4F" w:themeColor="text2" w:themeShade="BF"/>
          <w:sz w:val="36"/>
          <w:szCs w:val="36"/>
          <w:rtl/>
        </w:rPr>
        <w:t>تعريف الوكالة ومشروعيّتها</w:t>
      </w:r>
      <w:bookmarkEnd w:id="9"/>
    </w:p>
    <w:p w:rsidR="000A1A4A"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ينبغي عند تعريف الوكالة تقسيمها إلى قسمين؛ وهما الوكالة بوجه عامّ والوكالة بالخصومة. وإن كانت الوكالة بالخصومة تندرج في ضمن الوكالة عمومًا، إلّا أنّ ثمّة بعض الفروقات بين أنواع الوكالات، إن من ناحية الشكل أم من ناحية المضمون.</w:t>
      </w:r>
    </w:p>
    <w:p w:rsidR="00C3383E" w:rsidRPr="007E5C0E" w:rsidRDefault="00C3383E" w:rsidP="00C3383E">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21.5pt">
            <v:imagedata r:id="rId8" o:title="فقه-المحاماة-26"/>
          </v:shape>
        </w:pic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10" w:name="_Toc143687950"/>
      <w:r w:rsidRPr="00CB45DB">
        <w:rPr>
          <w:rFonts w:ascii="Adobe Arabic" w:eastAsia="Times New Roman" w:hAnsi="Adobe Arabic" w:cs="Adobe Arabic"/>
          <w:b/>
          <w:bCs/>
          <w:color w:val="323E4F" w:themeColor="text2" w:themeShade="BF"/>
          <w:sz w:val="36"/>
          <w:szCs w:val="36"/>
          <w:rtl/>
        </w:rPr>
        <w:t>الوكالة بوجه عامّ</w:t>
      </w:r>
      <w:bookmarkEnd w:id="10"/>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في اللّغة: هي اسم مصدر من التوكيل، وقد وردت بفتح الواو وكسرها</w:t>
      </w:r>
      <w:r w:rsidR="0098604B">
        <w:rPr>
          <w:rStyle w:val="FootnoteReference"/>
          <w:rFonts w:ascii="Adobe Arabic" w:eastAsia="Times New Roman" w:hAnsi="Adobe Arabic" w:cs="Adobe Arabic"/>
          <w:color w:val="000000"/>
          <w:sz w:val="32"/>
          <w:szCs w:val="32"/>
          <w:rtl/>
          <w:lang w:bidi="fa-IR"/>
        </w:rPr>
        <w:footnoteReference w:id="45"/>
      </w:r>
      <w:r w:rsidRPr="007E5C0E">
        <w:rPr>
          <w:rFonts w:ascii="Adobe Arabic" w:eastAsia="Times New Roman" w:hAnsi="Adobe Arabic" w:cs="Adobe Arabic"/>
          <w:color w:val="000000"/>
          <w:sz w:val="32"/>
          <w:szCs w:val="32"/>
          <w:rtl/>
          <w:lang w:bidi="fa-IR"/>
        </w:rPr>
        <w:t>، ولها معانٍ عدّة في اللغة، فمن معانيها:</w:t>
      </w:r>
    </w:p>
    <w:p w:rsidR="00EE46C4" w:rsidRDefault="00EE46C4">
      <w:pPr>
        <w:rPr>
          <w:rFonts w:ascii="Adobe Arabic" w:eastAsia="Times New Roman" w:hAnsi="Adobe Arabic" w:cs="Adobe Arabic"/>
          <w:b/>
          <w:bCs/>
          <w:color w:val="323E4F" w:themeColor="text2" w:themeShade="BF"/>
          <w:sz w:val="36"/>
          <w:szCs w:val="36"/>
          <w:rtl/>
        </w:rPr>
      </w:pPr>
      <w:bookmarkStart w:id="11" w:name="_Toc143687951"/>
      <w:r>
        <w:rPr>
          <w:rFonts w:ascii="Adobe Arabic" w:eastAsia="Times New Roman" w:hAnsi="Adobe Arabic" w:cs="Adobe Arabic"/>
          <w:b/>
          <w:bCs/>
          <w:color w:val="323E4F" w:themeColor="text2" w:themeShade="BF"/>
          <w:sz w:val="36"/>
          <w:szCs w:val="36"/>
          <w:rtl/>
        </w:rPr>
        <w:br w:type="page"/>
      </w:r>
    </w:p>
    <w:p w:rsidR="00662CFC" w:rsidRDefault="00662CFC" w:rsidP="003C24BF">
      <w:pPr>
        <w:jc w:val="center"/>
        <w:rPr>
          <w:rtl/>
        </w:rPr>
      </w:pPr>
      <w:r>
        <w:rPr>
          <w:noProof/>
        </w:rPr>
        <w:lastRenderedPageBreak/>
        <w:drawing>
          <wp:inline distT="0" distB="0" distL="0" distR="0">
            <wp:extent cx="4762500" cy="3305175"/>
            <wp:effectExtent l="0" t="0" r="0" b="9525"/>
            <wp:docPr id="1" name="Picture 1" descr="C:\Users\user6\AppData\Local\Microsoft\Windows\INetCache\Content.Word\فقه-المحاماة-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6\AppData\Local\Microsoft\Windows\INetCache\Content.Word\فقه-المحاماة-2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p w:rsidR="000A1A4A" w:rsidRPr="00CB45DB" w:rsidRDefault="000A1A4A" w:rsidP="0098604B">
      <w:pPr>
        <w:pStyle w:val="Heading2"/>
        <w:bidi/>
        <w:jc w:val="both"/>
        <w:rPr>
          <w:rFonts w:ascii="Adobe Arabic" w:eastAsia="Times New Roman" w:hAnsi="Adobe Arabic" w:cs="Adobe Arabic"/>
          <w:b/>
          <w:bCs/>
          <w:color w:val="323E4F" w:themeColor="text2" w:themeShade="BF"/>
          <w:sz w:val="36"/>
          <w:szCs w:val="36"/>
          <w:rtl/>
        </w:rPr>
      </w:pPr>
      <w:r w:rsidRPr="00CB45DB">
        <w:rPr>
          <w:rFonts w:ascii="Adobe Arabic" w:eastAsia="Times New Roman" w:hAnsi="Adobe Arabic" w:cs="Adobe Arabic"/>
          <w:b/>
          <w:bCs/>
          <w:color w:val="323E4F" w:themeColor="text2" w:themeShade="BF"/>
          <w:sz w:val="36"/>
          <w:szCs w:val="36"/>
          <w:rtl/>
        </w:rPr>
        <w:t>الفرق بين الوكالة والنيابة </w:t>
      </w:r>
      <w:r w:rsidR="0098604B">
        <w:rPr>
          <w:rStyle w:val="FootnoteReference"/>
          <w:rFonts w:ascii="Adobe Arabic" w:eastAsia="Times New Roman" w:hAnsi="Adobe Arabic" w:cs="Adobe Arabic"/>
          <w:b/>
          <w:bCs/>
          <w:color w:val="323E4F" w:themeColor="text2" w:themeShade="BF"/>
          <w:sz w:val="36"/>
          <w:szCs w:val="36"/>
          <w:rtl/>
        </w:rPr>
        <w:footnoteReference w:id="46"/>
      </w:r>
      <w:r w:rsidRPr="00CB45DB">
        <w:rPr>
          <w:rFonts w:ascii="Adobe Arabic" w:eastAsia="Times New Roman" w:hAnsi="Adobe Arabic" w:cs="Adobe Arabic"/>
          <w:b/>
          <w:bCs/>
          <w:color w:val="323E4F" w:themeColor="text2" w:themeShade="BF"/>
          <w:sz w:val="36"/>
          <w:szCs w:val="36"/>
          <w:rtl/>
        </w:rPr>
        <w:t>.</w:t>
      </w:r>
      <w:r w:rsidR="0098604B">
        <w:rPr>
          <w:rStyle w:val="FootnoteReference"/>
          <w:rFonts w:ascii="Adobe Arabic" w:eastAsia="Times New Roman" w:hAnsi="Adobe Arabic" w:cs="Adobe Arabic"/>
          <w:b/>
          <w:bCs/>
          <w:color w:val="323E4F" w:themeColor="text2" w:themeShade="BF"/>
          <w:sz w:val="36"/>
          <w:szCs w:val="36"/>
          <w:rtl/>
        </w:rPr>
        <w:footnoteReference w:id="47"/>
      </w:r>
      <w:r w:rsidRPr="00CB45DB">
        <w:rPr>
          <w:rFonts w:ascii="Adobe Arabic" w:eastAsia="Times New Roman" w:hAnsi="Adobe Arabic" w:cs="Adobe Arabic"/>
          <w:b/>
          <w:bCs/>
          <w:color w:val="323E4F" w:themeColor="text2" w:themeShade="BF"/>
          <w:sz w:val="36"/>
          <w:szCs w:val="36"/>
          <w:rtl/>
        </w:rPr>
        <w:t>.</w:t>
      </w:r>
      <w:bookmarkEnd w:id="11"/>
      <w:r w:rsidR="0098604B">
        <w:rPr>
          <w:rStyle w:val="FootnoteReference"/>
          <w:rFonts w:ascii="Adobe Arabic" w:eastAsia="Times New Roman" w:hAnsi="Adobe Arabic" w:cs="Adobe Arabic"/>
          <w:b/>
          <w:bCs/>
          <w:color w:val="323E4F" w:themeColor="text2" w:themeShade="BF"/>
          <w:sz w:val="36"/>
          <w:szCs w:val="36"/>
          <w:rtl/>
        </w:rPr>
        <w:footnoteReference w:id="48"/>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الفرق بين الوكالة والنيابة، أنّ الوكالة «من مراحل الإنشاء، والثانية من مراحل العمل؛ فإنّها عبارة عن القيام مَقام الغير في العمل، يُقال: ناب عن زيد في أمر، قام مقامه، فالوكالة إنشاء تنزيليّ، والنيابة عمل تنزيليّ»</w:t>
      </w:r>
      <w:r w:rsidR="0098604B">
        <w:rPr>
          <w:rStyle w:val="FootnoteReference"/>
          <w:rFonts w:ascii="Adobe Arabic" w:eastAsia="Times New Roman" w:hAnsi="Adobe Arabic" w:cs="Adobe Arabic"/>
          <w:color w:val="000000"/>
          <w:sz w:val="32"/>
          <w:szCs w:val="32"/>
          <w:rtl/>
          <w:lang w:bidi="fa-IR"/>
        </w:rPr>
        <w:footnoteReference w:id="49"/>
      </w:r>
      <w:r w:rsidRPr="007E5C0E">
        <w:rPr>
          <w:rFonts w:ascii="Adobe Arabic" w:eastAsia="Times New Roman" w:hAnsi="Adobe Arabic" w:cs="Adobe Arabic"/>
          <w:color w:val="000000"/>
          <w:sz w:val="32"/>
          <w:szCs w:val="32"/>
          <w:rtl/>
          <w:lang w:bidi="fa-IR"/>
        </w:rPr>
        <w:t>.</w:t>
      </w:r>
    </w:p>
    <w:p w:rsidR="00EE46C4" w:rsidRDefault="00C3383E" w:rsidP="00C3383E">
      <w:pPr>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 id="_x0000_i1027" type="#_x0000_t75" style="width:375pt;height:120pt">
            <v:imagedata r:id="rId10" o:title="فقه-المحاماة--27"/>
          </v:shape>
        </w:pict>
      </w:r>
    </w:p>
    <w:p w:rsidR="00C3383E" w:rsidRDefault="00C3383E">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وبعبارة أخرى، إنّ العمل الذي يُنفّذ من قِبَل الوكيل يُمكن نسبته إلى الموكَّل، كبيع شيء ما مثلًا، فيصدق على الموكَّل أنّه قد باع هذا الشيء، أمّا النيابة، فلا؛ لأنّ العمل يُنسب إلى فاعله لا إلى المنوب عنه، كالحجّ النيابيّ، فهو يُنسب إلى فاعله خاصّة، فيُقال: حجّ فلان.</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وبالتّالي، فإنّ الفرق يُمكن استيضاحه من خلال نسبة الفعل، وإن كان فيهما معاً توكيل بالعمل.</w:t>
      </w:r>
    </w:p>
    <w:p w:rsidR="000A1A4A"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12" w:name="_Toc143687952"/>
      <w:r w:rsidRPr="00CB45DB">
        <w:rPr>
          <w:rFonts w:ascii="Adobe Arabic" w:eastAsia="Times New Roman" w:hAnsi="Adobe Arabic" w:cs="Adobe Arabic"/>
          <w:b/>
          <w:bCs/>
          <w:color w:val="323E4F" w:themeColor="text2" w:themeShade="BF"/>
          <w:sz w:val="36"/>
          <w:szCs w:val="36"/>
          <w:rtl/>
        </w:rPr>
        <w:t>شروط الوكالة</w:t>
      </w:r>
      <w:bookmarkEnd w:id="12"/>
    </w:p>
    <w:p w:rsidR="00C3383E" w:rsidRPr="00C3383E" w:rsidRDefault="00C3383E" w:rsidP="00C3383E">
      <w:pPr>
        <w:bidi/>
        <w:jc w:val="center"/>
        <w:rPr>
          <w:rtl/>
        </w:rPr>
      </w:pPr>
      <w:r>
        <w:pict>
          <v:shape id="_x0000_i1028" type="#_x0000_t75" style="width:375pt;height:193.5pt">
            <v:imagedata r:id="rId11" o:title="فقه-المحاماة-28"/>
          </v:shape>
        </w:pic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1. التنجيز على الأحوط وجوبًا، فلو قال: «وكلّتك، إذا جاء فلان»، بجعل أصل الوكالة معلَّقًا على شيء، لم تصحّ. نعم، يصحّ التعليق فيما وكَّل فيه، كأن يقول: «أنت وكيلي في بيع كذا، إذا جاء فلان»، فيكون بيع هذا الشيء معلّقًا على مجيئه، لا الوكالة</w:t>
      </w:r>
      <w:r w:rsidR="0098604B">
        <w:rPr>
          <w:rStyle w:val="FootnoteReference"/>
          <w:rFonts w:ascii="Adobe Arabic" w:eastAsia="Times New Roman" w:hAnsi="Adobe Arabic" w:cs="Adobe Arabic"/>
          <w:color w:val="000000"/>
          <w:sz w:val="32"/>
          <w:szCs w:val="32"/>
          <w:rtl/>
        </w:rPr>
        <w:footnoteReference w:id="50"/>
      </w:r>
      <w:r w:rsidRPr="007E5C0E">
        <w:rPr>
          <w:rFonts w:ascii="Adobe Arabic" w:eastAsia="Times New Roman" w:hAnsi="Adobe Arabic" w:cs="Adobe Arabic"/>
          <w:color w:val="000000"/>
          <w:sz w:val="32"/>
          <w:szCs w:val="32"/>
          <w:rtl/>
        </w:rPr>
        <w:t>.</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2. أن تكون واقعة على أمر جائزٍ شرعًا</w:t>
      </w:r>
      <w:r w:rsidR="0098604B">
        <w:rPr>
          <w:rStyle w:val="FootnoteReference"/>
          <w:rFonts w:ascii="Adobe Arabic" w:eastAsia="Times New Roman" w:hAnsi="Adobe Arabic" w:cs="Adobe Arabic"/>
          <w:color w:val="000000"/>
          <w:sz w:val="32"/>
          <w:szCs w:val="32"/>
          <w:rtl/>
        </w:rPr>
        <w:footnoteReference w:id="51"/>
      </w:r>
      <w:r w:rsidRPr="007E5C0E">
        <w:rPr>
          <w:rFonts w:ascii="Adobe Arabic" w:eastAsia="Times New Roman" w:hAnsi="Adobe Arabic" w:cs="Adobe Arabic"/>
          <w:color w:val="000000"/>
          <w:sz w:val="32"/>
          <w:szCs w:val="32"/>
          <w:rtl/>
        </w:rPr>
        <w:t>، (كالمخاصمة بشكل عامّ).</w:t>
      </w:r>
    </w:p>
    <w:p w:rsidR="00EE46C4" w:rsidRDefault="00EE46C4">
      <w:pPr>
        <w:rPr>
          <w:rFonts w:ascii="Adobe Arabic" w:eastAsia="Times New Roman" w:hAnsi="Adobe Arabic" w:cs="Adobe Arabic"/>
          <w:b/>
          <w:bCs/>
          <w:color w:val="323E4F" w:themeColor="text2" w:themeShade="BF"/>
          <w:sz w:val="36"/>
          <w:szCs w:val="36"/>
          <w:rtl/>
        </w:rPr>
      </w:pPr>
      <w:bookmarkStart w:id="13" w:name="_Toc143687953"/>
      <w:r>
        <w:rPr>
          <w:rFonts w:ascii="Adobe Arabic" w:eastAsia="Times New Roman" w:hAnsi="Adobe Arabic" w:cs="Adobe Arabic"/>
          <w:b/>
          <w:bCs/>
          <w:color w:val="323E4F" w:themeColor="text2" w:themeShade="BF"/>
          <w:sz w:val="36"/>
          <w:szCs w:val="36"/>
          <w:rtl/>
        </w:rPr>
        <w:br w:type="page"/>
      </w:r>
    </w:p>
    <w:p w:rsidR="000A1A4A" w:rsidRDefault="000A1A4A" w:rsidP="00CB45DB">
      <w:pPr>
        <w:pStyle w:val="Heading2"/>
        <w:bidi/>
        <w:jc w:val="both"/>
        <w:rPr>
          <w:rFonts w:ascii="Adobe Arabic" w:eastAsia="Times New Roman" w:hAnsi="Adobe Arabic" w:cs="Adobe Arabic"/>
          <w:b/>
          <w:bCs/>
          <w:color w:val="323E4F" w:themeColor="text2" w:themeShade="BF"/>
          <w:sz w:val="36"/>
          <w:szCs w:val="36"/>
          <w:rtl/>
        </w:rPr>
      </w:pPr>
      <w:r w:rsidRPr="00CB45DB">
        <w:rPr>
          <w:rFonts w:ascii="Adobe Arabic" w:eastAsia="Times New Roman" w:hAnsi="Adobe Arabic" w:cs="Adobe Arabic"/>
          <w:b/>
          <w:bCs/>
          <w:color w:val="323E4F" w:themeColor="text2" w:themeShade="BF"/>
          <w:sz w:val="36"/>
          <w:szCs w:val="36"/>
          <w:rtl/>
        </w:rPr>
        <w:lastRenderedPageBreak/>
        <w:t>شروط الموكِّل</w:t>
      </w:r>
      <w:bookmarkEnd w:id="13"/>
    </w:p>
    <w:p w:rsidR="00C3383E" w:rsidRPr="00C3383E" w:rsidRDefault="00C3383E" w:rsidP="00C3383E">
      <w:pPr>
        <w:bidi/>
        <w:jc w:val="center"/>
        <w:rPr>
          <w:rtl/>
        </w:rPr>
      </w:pPr>
      <w:r>
        <w:pict>
          <v:shape id="_x0000_i1029" type="#_x0000_t75" style="width:375pt;height:169.5pt">
            <v:imagedata r:id="rId12" o:title="فقه-المحاماة-29"/>
          </v:shape>
        </w:pic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1. البلوغ.</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2. العقل.</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3. القصد.</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4. الاختيار.</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5. أن يكون جائز التصرّف فيما وَكَّل فيه، فلا يصحّ للمحجور عليه، لسفه أو إفلاس، التوكيل في ماله.</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6. أن يكون إيقاع الأمر جائزًا له، فلا يصحّ التوكيل في إجراء عقد نكاح عنه، حال كون الموكّل مُحرِمًا</w:t>
      </w:r>
      <w:r w:rsidR="0098604B">
        <w:rPr>
          <w:rStyle w:val="FootnoteReference"/>
          <w:rFonts w:ascii="Adobe Arabic" w:eastAsia="Times New Roman" w:hAnsi="Adobe Arabic" w:cs="Adobe Arabic"/>
          <w:color w:val="000000"/>
          <w:sz w:val="32"/>
          <w:szCs w:val="32"/>
          <w:rtl/>
        </w:rPr>
        <w:footnoteReference w:id="52"/>
      </w:r>
      <w:r w:rsidRPr="007E5C0E">
        <w:rPr>
          <w:rFonts w:ascii="Adobe Arabic" w:eastAsia="Times New Roman" w:hAnsi="Adobe Arabic" w:cs="Adobe Arabic"/>
          <w:color w:val="000000"/>
          <w:sz w:val="32"/>
          <w:szCs w:val="32"/>
          <w:rtl/>
        </w:rPr>
        <w:t>.</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 لا يشترط في الوكيل الإسلام، فتصحّ وكالة الكافر، بل والمرتدّ، وإن كان عن فطرة، عن المسلم والكافر، إلّا فيما لا يصحّ وقوعه من الكافر، كابتياع المصحف لكافر، وكاستيفاء حقٍّ من المسلم، أو مخاصمةٍ معه، وإن كان ذلك لِمُسلم.</w:t>
      </w:r>
    </w:p>
    <w:p w:rsidR="00EE46C4" w:rsidRDefault="00EE46C4">
      <w:pPr>
        <w:rPr>
          <w:rFonts w:ascii="Adobe Arabic" w:eastAsia="Times New Roman" w:hAnsi="Adobe Arabic" w:cs="Adobe Arabic"/>
          <w:b/>
          <w:bCs/>
          <w:color w:val="323E4F" w:themeColor="text2" w:themeShade="BF"/>
          <w:sz w:val="36"/>
          <w:szCs w:val="36"/>
          <w:rtl/>
        </w:rPr>
      </w:pPr>
      <w:bookmarkStart w:id="14" w:name="_Toc143687954"/>
      <w:r>
        <w:rPr>
          <w:rFonts w:ascii="Adobe Arabic" w:eastAsia="Times New Roman" w:hAnsi="Adobe Arabic" w:cs="Adobe Arabic"/>
          <w:b/>
          <w:bCs/>
          <w:color w:val="323E4F" w:themeColor="text2" w:themeShade="BF"/>
          <w:sz w:val="36"/>
          <w:szCs w:val="36"/>
          <w:rtl/>
        </w:rPr>
        <w:br w:type="page"/>
      </w:r>
    </w:p>
    <w:p w:rsidR="000A1A4A" w:rsidRDefault="000A1A4A" w:rsidP="00CB45DB">
      <w:pPr>
        <w:pStyle w:val="Heading2"/>
        <w:bidi/>
        <w:jc w:val="both"/>
        <w:rPr>
          <w:rFonts w:ascii="Adobe Arabic" w:eastAsia="Times New Roman" w:hAnsi="Adobe Arabic" w:cs="Adobe Arabic"/>
          <w:b/>
          <w:bCs/>
          <w:color w:val="323E4F" w:themeColor="text2" w:themeShade="BF"/>
          <w:sz w:val="36"/>
          <w:szCs w:val="36"/>
          <w:rtl/>
        </w:rPr>
      </w:pPr>
      <w:r w:rsidRPr="00CB45DB">
        <w:rPr>
          <w:rFonts w:ascii="Adobe Arabic" w:eastAsia="Times New Roman" w:hAnsi="Adobe Arabic" w:cs="Adobe Arabic"/>
          <w:b/>
          <w:bCs/>
          <w:color w:val="323E4F" w:themeColor="text2" w:themeShade="BF"/>
          <w:sz w:val="36"/>
          <w:szCs w:val="36"/>
          <w:rtl/>
        </w:rPr>
        <w:lastRenderedPageBreak/>
        <w:t>شروط الوكيل</w:t>
      </w:r>
      <w:bookmarkEnd w:id="14"/>
    </w:p>
    <w:p w:rsidR="00C3383E" w:rsidRPr="00C3383E" w:rsidRDefault="00C3383E" w:rsidP="00C3383E">
      <w:pPr>
        <w:bidi/>
        <w:jc w:val="center"/>
        <w:rPr>
          <w:rtl/>
        </w:rPr>
      </w:pPr>
      <w:r>
        <w:pict>
          <v:shape id="_x0000_i1030" type="#_x0000_t75" style="width:375pt;height:182.25pt">
            <v:imagedata r:id="rId13" o:title="فقه-المحاماة-30"/>
          </v:shape>
        </w:pic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1. البلوغ.</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2. العقل.</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3. القصد، فلا يصحّ توكيل الغافل أو الهازل في إجراء العقد.</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4. الاختيار، فلا يصحّ توكيل المُكرَه.</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5. القدرة عقلاً وشرعًا، فلا يصحّ توكيل مَن لا يقدر على الكلام بإجراء عقد لفظيّ له.</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6. أن يكون ممّن يصحّ إيقاع الفعل منه، فلو كانت الوكالة على بيع المصحف، فلا يصحّ توكيل من كان كافرًا مثلاً. نعم، يصحّ توكيل الكافر فيما يصحّ وقوعه منه</w:t>
      </w:r>
      <w:r w:rsidR="0098604B">
        <w:rPr>
          <w:rStyle w:val="FootnoteReference"/>
          <w:rFonts w:ascii="Adobe Arabic" w:eastAsia="Times New Roman" w:hAnsi="Adobe Arabic" w:cs="Adobe Arabic"/>
          <w:color w:val="000000"/>
          <w:sz w:val="32"/>
          <w:szCs w:val="32"/>
          <w:rtl/>
        </w:rPr>
        <w:footnoteReference w:id="53"/>
      </w:r>
      <w:r w:rsidRPr="007E5C0E">
        <w:rPr>
          <w:rFonts w:ascii="Adobe Arabic" w:eastAsia="Times New Roman" w:hAnsi="Adobe Arabic" w:cs="Adobe Arabic"/>
          <w:color w:val="000000"/>
          <w:sz w:val="32"/>
          <w:szCs w:val="32"/>
          <w:rtl/>
        </w:rPr>
        <w:t>.</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15" w:name="_Toc143687955"/>
      <w:r w:rsidRPr="00CB45DB">
        <w:rPr>
          <w:rFonts w:ascii="Adobe Arabic" w:eastAsia="Times New Roman" w:hAnsi="Adobe Arabic" w:cs="Adobe Arabic"/>
          <w:b/>
          <w:bCs/>
          <w:color w:val="323E4F" w:themeColor="text2" w:themeShade="BF"/>
          <w:sz w:val="36"/>
          <w:szCs w:val="36"/>
          <w:rtl/>
        </w:rPr>
        <w:t>الوكالة بالخصومة (المحاماة)</w:t>
      </w:r>
      <w:bookmarkEnd w:id="15"/>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الوكالة بالخصومة مركّب إضافيّ من كلمتين، وقد مرّ معنا آنفًا تعريف كلمة الوكالة؛ أمّا الخصومة فهي: من التخاصم والاختصام. وكلمة خصم لها عدّة معانٍ:</w:t>
      </w:r>
    </w:p>
    <w:p w:rsidR="00EE46C4" w:rsidRDefault="00EE46C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lastRenderedPageBreak/>
        <w:t>1. الجدل</w:t>
      </w:r>
      <w:r w:rsidR="0098604B">
        <w:rPr>
          <w:rStyle w:val="FootnoteReference"/>
          <w:rFonts w:ascii="Adobe Arabic" w:eastAsia="Times New Roman" w:hAnsi="Adobe Arabic" w:cs="Adobe Arabic"/>
          <w:color w:val="000000"/>
          <w:sz w:val="32"/>
          <w:szCs w:val="32"/>
          <w:rtl/>
        </w:rPr>
        <w:footnoteReference w:id="54"/>
      </w:r>
      <w:r w:rsidRPr="007E5C0E">
        <w:rPr>
          <w:rFonts w:ascii="Adobe Arabic" w:eastAsia="Times New Roman" w:hAnsi="Adobe Arabic" w:cs="Adobe Arabic"/>
          <w:color w:val="000000"/>
          <w:sz w:val="32"/>
          <w:szCs w:val="32"/>
          <w:rtl/>
        </w:rPr>
        <w:t>.</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2. المنازعة</w:t>
      </w:r>
      <w:r w:rsidR="0098604B">
        <w:rPr>
          <w:rStyle w:val="FootnoteReference"/>
          <w:rFonts w:ascii="Adobe Arabic" w:eastAsia="Times New Roman" w:hAnsi="Adobe Arabic" w:cs="Adobe Arabic"/>
          <w:color w:val="000000"/>
          <w:sz w:val="32"/>
          <w:szCs w:val="32"/>
          <w:rtl/>
        </w:rPr>
        <w:footnoteReference w:id="55"/>
      </w:r>
      <w:r w:rsidRPr="007E5C0E">
        <w:rPr>
          <w:rFonts w:ascii="Adobe Arabic" w:eastAsia="Times New Roman" w:hAnsi="Adobe Arabic" w:cs="Adobe Arabic"/>
          <w:color w:val="000000"/>
          <w:sz w:val="32"/>
          <w:szCs w:val="32"/>
          <w:rtl/>
        </w:rPr>
        <w:t>.</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3. يُطلق الخصم على الوكيل والنائب</w:t>
      </w:r>
      <w:r w:rsidR="0098604B">
        <w:rPr>
          <w:rStyle w:val="FootnoteReference"/>
          <w:rFonts w:ascii="Adobe Arabic" w:eastAsia="Times New Roman" w:hAnsi="Adobe Arabic" w:cs="Adobe Arabic"/>
          <w:color w:val="000000"/>
          <w:sz w:val="32"/>
          <w:szCs w:val="32"/>
          <w:rtl/>
        </w:rPr>
        <w:footnoteReference w:id="56"/>
      </w:r>
      <w:r w:rsidRPr="007E5C0E">
        <w:rPr>
          <w:rFonts w:ascii="Adobe Arabic" w:eastAsia="Times New Roman" w:hAnsi="Adobe Arabic" w:cs="Adobe Arabic"/>
          <w:color w:val="000000"/>
          <w:sz w:val="32"/>
          <w:szCs w:val="32"/>
          <w:rtl/>
        </w:rPr>
        <w:t>.</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أمّا اصطلاحًا، فهي: ادّعاءُ طرفٍ حقًّا وإنكارُ الطرفِ الآخر هذا الحقّ عليه.</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16" w:name="_Toc143687956"/>
      <w:r w:rsidRPr="00CB45DB">
        <w:rPr>
          <w:rFonts w:ascii="Adobe Arabic" w:eastAsia="Times New Roman" w:hAnsi="Adobe Arabic" w:cs="Adobe Arabic"/>
          <w:b/>
          <w:bCs/>
          <w:color w:val="323E4F" w:themeColor="text2" w:themeShade="BF"/>
          <w:sz w:val="36"/>
          <w:szCs w:val="36"/>
          <w:rtl/>
        </w:rPr>
        <w:t>تشريع الوكالة بالخصومة في الشرع الإسلاميّ</w:t>
      </w:r>
      <w:bookmarkEnd w:id="16"/>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لا إشكال في مشروعيّة الوكالة بالخصومة في الفقه الإسلاميّ، وفي أنّها ممّا يصحّ التوكيل فيها، قال الشيخ الطوسيّ في المبسوط: «وأمّا الدعوى، فيصحّ التوكيل فيها؛ لأنّ كلّ أحد لا يكمل المخاصمة والمطالبة»</w:t>
      </w:r>
      <w:r w:rsidR="0098604B">
        <w:rPr>
          <w:rStyle w:val="FootnoteReference"/>
          <w:rFonts w:ascii="Adobe Arabic" w:eastAsia="Times New Roman" w:hAnsi="Adobe Arabic" w:cs="Adobe Arabic"/>
          <w:color w:val="000000"/>
          <w:sz w:val="32"/>
          <w:szCs w:val="32"/>
          <w:rtl/>
          <w:lang w:bidi="fa-IR"/>
        </w:rPr>
        <w:footnoteReference w:id="57"/>
      </w:r>
      <w:r w:rsidRPr="007E5C0E">
        <w:rPr>
          <w:rFonts w:ascii="Adobe Arabic" w:eastAsia="Times New Roman" w:hAnsi="Adobe Arabic" w:cs="Adobe Arabic"/>
          <w:color w:val="000000"/>
          <w:sz w:val="32"/>
          <w:szCs w:val="32"/>
          <w:rtl/>
          <w:lang w:bidi="fa-IR"/>
        </w:rPr>
        <w:t>.</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والشرائط التي ذُكرت آنفًا في الوكالة عمومًا، هي نفسها، تُشترط في الوكالة بالخصومة.</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17" w:name="_Toc143687957"/>
      <w:r w:rsidRPr="00CB45DB">
        <w:rPr>
          <w:rFonts w:ascii="Adobe Arabic" w:eastAsia="Times New Roman" w:hAnsi="Adobe Arabic" w:cs="Adobe Arabic"/>
          <w:b/>
          <w:bCs/>
          <w:color w:val="323E4F" w:themeColor="text2" w:themeShade="BF"/>
          <w:sz w:val="36"/>
          <w:szCs w:val="36"/>
          <w:rtl/>
        </w:rPr>
        <w:t>هل المحاماة وكالة بالخصومة؟</w:t>
      </w:r>
      <w:bookmarkEnd w:id="17"/>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حسب تعريف الوكالة بالخصومة من الناحية الشرعيّة وتعريف المحاماة، نجد أنّهما لا يفترقان، من حيث الواقع، بعضهما عن بعض، إلّا في الاصطلاح، كما هو واضح.</w:t>
      </w:r>
    </w:p>
    <w:p w:rsidR="00EE46C4" w:rsidRDefault="00EE46C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وبالتّالي، فإنّ ما يُحكى عن الوكالة بالخصومة في الفقه الإسلاميّ ينطبق على مهنة المحاماة.</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18" w:name="_Toc143687958"/>
      <w:r w:rsidRPr="00CB45DB">
        <w:rPr>
          <w:rFonts w:ascii="Adobe Arabic" w:eastAsia="Times New Roman" w:hAnsi="Adobe Arabic" w:cs="Adobe Arabic"/>
          <w:b/>
          <w:bCs/>
          <w:color w:val="323E4F" w:themeColor="text2" w:themeShade="BF"/>
          <w:sz w:val="36"/>
          <w:szCs w:val="36"/>
          <w:rtl/>
        </w:rPr>
        <w:t>آداب مزاولة المهنة</w:t>
      </w:r>
      <w:bookmarkEnd w:id="18"/>
    </w:p>
    <w:p w:rsidR="000A1A4A"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من المناسب هنا، الإشارة إلى بعض الشروط والآداب التي ينبغي للمحامي أن يتحلّى بها، وهي شروط أخلاقيّة وشرعيّة، تُسهم في حفظ تديّن المحامي والتزامه بالأحكام الشرعيّة في كيفيّة التعامل مع الموكِّل والخصم وغير ذلك، وسنذكرها ضمن النقاط الآتية:</w:t>
      </w:r>
    </w:p>
    <w:p w:rsidR="00C3383E" w:rsidRPr="007E5C0E" w:rsidRDefault="003C24BF" w:rsidP="003C24BF">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 id="_x0000_i1054" type="#_x0000_t75" style="width:375pt;height:313.5pt">
            <v:imagedata r:id="rId14" o:title="فقه-المحاماة-32"/>
          </v:shape>
        </w:pic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19" w:name="_Toc143687959"/>
      <w:r w:rsidRPr="00CB45DB">
        <w:rPr>
          <w:rFonts w:ascii="Adobe Arabic" w:eastAsia="Times New Roman" w:hAnsi="Adobe Arabic" w:cs="Adobe Arabic"/>
          <w:b/>
          <w:bCs/>
          <w:color w:val="323E4F" w:themeColor="text2" w:themeShade="BF"/>
          <w:sz w:val="36"/>
          <w:szCs w:val="36"/>
          <w:rtl/>
        </w:rPr>
        <w:t>أحكام الوكالة</w:t>
      </w:r>
      <w:bookmarkEnd w:id="19"/>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ما سوف نذكره هنا من مسائل شامل للوكالة عامّة، سواء أكانت بالخصومة (المحاماة) أم بغيرها، وذلك بحسب ما ورد في الرسالة العمليّة لسماحة الإمام الخمينيّ </w:t>
      </w:r>
      <w:r w:rsidR="008313D9">
        <w:rPr>
          <w:rFonts w:ascii="Adobe Arabic" w:eastAsia="Times New Roman" w:hAnsi="Adobe Arabic" w:cs="Adobe Arabic"/>
          <w:color w:val="000000"/>
          <w:sz w:val="32"/>
          <w:szCs w:val="32"/>
          <w:rtl/>
          <w:lang w:bidi="fa-IR"/>
        </w:rPr>
        <w:t>(قدس سره)</w:t>
      </w:r>
      <w:r w:rsidRPr="007E5C0E">
        <w:rPr>
          <w:rFonts w:ascii="Adobe Arabic" w:eastAsia="Times New Roman" w:hAnsi="Adobe Arabic" w:cs="Adobe Arabic"/>
          <w:color w:val="000000"/>
          <w:sz w:val="32"/>
          <w:szCs w:val="32"/>
          <w:rtl/>
          <w:lang w:bidi="fa-IR"/>
        </w:rPr>
        <w:t> من كتاب الوكالة في تحرير الوسيلة.</w:t>
      </w:r>
    </w:p>
    <w:p w:rsidR="00EE46C4" w:rsidRDefault="00EE46C4">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أ. أقسام الوكالة:</w:t>
      </w:r>
    </w:p>
    <w:p w:rsidR="000A1A4A"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الوكالة إمّا خاصّة، وإمّا عامّة، وإمّا مطلقة.</w:t>
      </w:r>
    </w:p>
    <w:p w:rsidR="003C24BF" w:rsidRPr="007E5C0E" w:rsidRDefault="003C24BF" w:rsidP="003C24BF">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 id="_x0000_i1055" type="#_x0000_t75" style="width:375pt;height:472.5pt">
            <v:imagedata r:id="rId15" o:title="فقه-المحاماة-33"/>
          </v:shape>
        </w:pic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ب. التوكيل بنحو التخيير:</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وربّما يكون التوكيل بنحو التخيير بين أمور؛ إمّا في التصرّف دون المتعلّق، كما لو قال: «أنت وكيلي في بيع داري أو صلحها أو هبتها أو إجارتها».</w:t>
      </w:r>
    </w:p>
    <w:p w:rsidR="00EE46C4" w:rsidRDefault="00EE46C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وإمّا في المتعلّق فقط، كما لو قال: «أنت وكيلي في بيع هذه الدار أو هذه الدابة أو هذه الفرش» مثلاً، والظاهر صحّة الجميع.</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ج. قصر التصرّف بحسب العقد:</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يجب أن يقتصر الوكيل في التصرّف في الموكَّل فيه على ما شمله عقد الوكالة صريحًا أو ظاهراً، ولو بمعونة قرائن حاليّة أو مقاليّة، ولو كانت هي العادة الجارية على أنّ التوكيل في أمر لازمه التوكيل في أمر آخر، كما لو سلّم إليه المبيع ووكّله في بيعه، أو سلّم إليه الثمن ووكّله في الشراء</w:t>
      </w:r>
      <w:r w:rsidR="0098604B">
        <w:rPr>
          <w:rStyle w:val="FootnoteReference"/>
          <w:rFonts w:ascii="Adobe Arabic" w:eastAsia="Times New Roman" w:hAnsi="Adobe Arabic" w:cs="Adobe Arabic"/>
          <w:color w:val="000000"/>
          <w:sz w:val="32"/>
          <w:szCs w:val="32"/>
          <w:rtl/>
          <w:lang w:bidi="fa-IR"/>
        </w:rPr>
        <w:footnoteReference w:id="58"/>
      </w:r>
      <w:r w:rsidRPr="007E5C0E">
        <w:rPr>
          <w:rFonts w:ascii="Adobe Arabic" w:eastAsia="Times New Roman" w:hAnsi="Adobe Arabic" w:cs="Adobe Arabic"/>
          <w:color w:val="000000"/>
          <w:sz w:val="32"/>
          <w:szCs w:val="32"/>
          <w:rtl/>
          <w:lang w:bidi="fa-IR"/>
        </w:rPr>
        <w:t>. وبالجملة، لا بدّ في صحّة التصرّف من شمول الوكالة له.</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هـ. الوكالة عقد جائز:</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الوكالة عقد جائز من الطرفين، فللوكيل أن يعزل نفسه مع حضور الموكّل وغيبته، وكذا للموكِّل أن يعزله، لكنّ انعزاله بعزله مشروط ببلوغه إيّاه؛ فلو أنشأ عزله ولم يطّلع عليه الوكيل لم ينعزل، فلو أمضى أمراً قبل أن يبلغه ولو بإخبار ثقة، كان نافذاً.</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و. بطلان الوكالة بموت الوكيل:</w:t>
      </w:r>
    </w:p>
    <w:p w:rsidR="00EE46C4"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تبطل الوكالة بموت الوكيل، وكذا بموت الموكِّل وإنْ لم يعلم الوكيل بموته، وبعروض الجنون على كلٍّ منهما على الأقوى في الإطباقيّ</w:t>
      </w:r>
      <w:r w:rsidR="0098604B">
        <w:rPr>
          <w:rStyle w:val="FootnoteReference"/>
          <w:rFonts w:ascii="Adobe Arabic" w:eastAsia="Times New Roman" w:hAnsi="Adobe Arabic" w:cs="Adobe Arabic"/>
          <w:color w:val="000000"/>
          <w:sz w:val="32"/>
          <w:szCs w:val="32"/>
          <w:rtl/>
          <w:lang w:bidi="fa-IR"/>
        </w:rPr>
        <w:footnoteReference w:id="59"/>
      </w:r>
      <w:r w:rsidRPr="007E5C0E">
        <w:rPr>
          <w:rFonts w:ascii="Adobe Arabic" w:eastAsia="Times New Roman" w:hAnsi="Adobe Arabic" w:cs="Adobe Arabic"/>
          <w:color w:val="000000"/>
          <w:sz w:val="32"/>
          <w:szCs w:val="32"/>
          <w:rtl/>
          <w:lang w:bidi="fa-IR"/>
        </w:rPr>
        <w:t xml:space="preserve">، وعلى الأحوط في غيره، وبإغماء كلٍّ منهما على الأحوط، وبتلف ما </w:t>
      </w:r>
    </w:p>
    <w:p w:rsidR="00EE46C4" w:rsidRDefault="00EE46C4">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تعلّقت به الوكالة، وبفعل الموكِّل -ولو بالتسبيب- ما تعلّقت به، كما لو وكّله في بيع سلعة ثمّ باعها، أو فعل ما يُنافيه، كما لو وكّله في بيع شيء ثمّ أوقفه.</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ز. التوكيل في الخصومة والمرافعة:</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يجوز التوكيل في الخصومة والمرافعة لكلٍّ من المدّعي والمدّعى عليه، بل يُكره لذوي المروءات من أهل الشرف والمناصب الجليلة أن يتولّوا المنازعة والمرافعة بأنفسهم، خصوصاً إذا كان الطرف (الخصم) بذيَّ اللسان، ولا يُعتبر رضا صاحبه، فليس له الامتناع عن خصومة الوكيل.</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ح. وظيفة الوكيل في الخصومة:</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1. وكيل المدّعي وظيفته بثّ الدعوى على المدّعى عليه عند الحاكم، وإقامة البيّنة وتعديلها، وتحليف المنكر، وطلب الحكم على الخصم، وبالجملة كلّ ما هو وسيلة إلى الإثبات. ووكيل المدّعى عليه وظيفته الإنكار، والطعن على الشهود، وإقامة بيّنة الجَرِح</w:t>
      </w:r>
      <w:r w:rsidR="0098604B">
        <w:rPr>
          <w:rStyle w:val="FootnoteReference"/>
          <w:rFonts w:ascii="Adobe Arabic" w:eastAsia="Times New Roman" w:hAnsi="Adobe Arabic" w:cs="Adobe Arabic"/>
          <w:color w:val="000000"/>
          <w:sz w:val="32"/>
          <w:szCs w:val="32"/>
          <w:rtl/>
        </w:rPr>
        <w:footnoteReference w:id="60"/>
      </w:r>
      <w:r w:rsidRPr="007E5C0E">
        <w:rPr>
          <w:rFonts w:ascii="Adobe Arabic" w:eastAsia="Times New Roman" w:hAnsi="Adobe Arabic" w:cs="Adobe Arabic"/>
          <w:color w:val="000000"/>
          <w:sz w:val="32"/>
          <w:szCs w:val="32"/>
          <w:rtl/>
        </w:rPr>
        <w:t>، ومطالبة الحاكم بسماعها والحكم بها، وبالجملة عليه السعي في الدفع ما أمكن.</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2. لو ادّعى منكر الدين مثلاً في أثناء مدافعة وكيله عنه الأداء أو الإبراء انقلب مدّعياً، وصارت وظيفة وكيله إقامة البيّنة على هذه الدعوى وغيرها ممّا هو وظيفة المدّعي، وصارت وظيفة خصمه الإنكار وغيره من وظائف المدّعى عليه.</w:t>
      </w:r>
    </w:p>
    <w:p w:rsidR="00EE46C4" w:rsidRDefault="00EE46C4">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lastRenderedPageBreak/>
        <w:t>ط. إقرار الوكيل على موكِّله:</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1. لا يُقبل إقرار الوكيل في الخصومة على موكِّله؛ فلو أقرّ وكيل المدّعي القبض أو الإبراء أو قبول الحوالة أو المصالحة أو بأنّ الحقّ مؤجّل أو أنّ البيّنة (الشهود) فسقة، أو أقرّ وكيل المدّعى عليه بالحقّ للمدّعي لم يُقبل، وبقيت الخصومة على حالها، سواء أقرّ في مجلس الحكم أو غيره، وينعزل بذلك وتبطل وكالته؛ لأنّه بعد الإقرار ظالم في الخصومة بزعمه.</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2. الوكيل بالخصومة لا يملك الصلح عن الحقّ أو الإبراء منه، إلّا أن يكون وكيلاً في ذلك أيضاً بالخصوص.</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ي. التعدّد في التوكيل في الخصومة:</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1. يجوز أن يوكِّل اثنين فصاعداً بالخصومة كسائر الأمور؛ فإنْ لم يُصرّح باستقلال كلٍّ منهما ولم يكن لكلامه ظهور فيه لم يستقلّ بها أحدهما، بل يتشاوران ويتباصران ويعضد كلٌّ منهما صاحبه ويُعينه على ما فوّض إليهما.</w:t>
      </w:r>
    </w:p>
    <w:p w:rsidR="004D7FC6"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 xml:space="preserve">2. لو وكّل رجلٌ وكيلاً بحضور الحاكم في خصوماته واستيفاء حقوقه مطلقًا أو في خصومة شخصيّة، ثمّ قدّم الوكيل خصمًا لموكّله وأقام الدعوى عليه، يسمع الحاكم دعواه عليه، وكذا إذا ادّعى عند الحاكم وكالته في الدعوى وأقام البيّنة عنده عليها؛ وأمّا إذا ادّعاها من دون بيّنة؛ فإنْ لم يُحضِر خصماً عنده أو أحضر ولم يُصدّقه في وكالته لم يسمع دعواه، ولو صدّقه فيها فالظاهر أنّه يسمع دعواه، لكن لم تثبت بذلك وكالته عن موكّله، بحيث تكون حجّة عليه، فإذا قضت موازين القضاء بحقّية المدّعي يلزم المدّعى </w:t>
      </w:r>
    </w:p>
    <w:p w:rsidR="004D7FC6" w:rsidRDefault="004D7F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lastRenderedPageBreak/>
        <w:t>عليه بالحقّ، ولو قضت بحقّية المدّعى عليه فالمدّعي على حجّته، فإذا أنكر الوكالة تبقى دعواه على حالها، وللمدّعى عليه أو وكيل المدّعي إقامة البيّنة على ثبوت الوكالة، ومع ثبوتها بها تثبت حقّية المدّعى عليه في ماهيّة الدعوى.</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3. لو وكّله في الدعوى وتثبيت حقّه على خصمه، لم يكن له بعد الإثبات قبض الحقّ، فللمحكوم عليه أن يمتنع عن تسليم ما ثبت عليه إلى الوكيل.</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4. لو وكّله في استيفاء حقّ له على غيره فجحده مَن عليه الحقّ، لم يكن للوكيل مخاصمته ومرافعته وتثبيت الحقّ عليه ما لم يكن وكيلاً في الخصومة.</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ك. حكم التوكيل بجعلٍ:</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يجوز التوكيل بجعلٍ وبغيره، وإنّما يستحقّ الجعل في الأوّل بتسليم العمل الموكَّل فيه، فلو وكّله في البيع أو الشراء وجعل له جعلاً فله المطالبة به بمجرّد إتمام المعاملة وإن لم يتسلّم الموكِّل الثمن أو المثمن، وكذا لو وكّله في المرافعة وتثبيت الحقّ استحقّه بمجرّد إثباته وإن لم يتسلّمه الموكِّل.</w:t>
      </w:r>
    </w:p>
    <w:p w:rsidR="004D7FC6" w:rsidRDefault="004D7FC6">
      <w:pPr>
        <w:rPr>
          <w:rFonts w:ascii="Adobe Arabic" w:eastAsia="Times New Roman" w:hAnsi="Adobe Arabic" w:cs="Adobe Arabic"/>
          <w:b/>
          <w:bCs/>
          <w:color w:val="323E4F" w:themeColor="text2" w:themeShade="BF"/>
          <w:sz w:val="36"/>
          <w:szCs w:val="36"/>
          <w:rtl/>
        </w:rPr>
      </w:pPr>
      <w:bookmarkStart w:id="20" w:name="_Toc143687960"/>
      <w:r>
        <w:rPr>
          <w:rFonts w:ascii="Adobe Arabic" w:eastAsia="Times New Roman" w:hAnsi="Adobe Arabic" w:cs="Adobe Arabic"/>
          <w:b/>
          <w:bCs/>
          <w:color w:val="323E4F" w:themeColor="text2" w:themeShade="BF"/>
          <w:sz w:val="36"/>
          <w:szCs w:val="36"/>
          <w:rtl/>
        </w:rPr>
        <w:br w:type="page"/>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r w:rsidRPr="00CB45DB">
        <w:rPr>
          <w:rFonts w:ascii="Adobe Arabic" w:eastAsia="Times New Roman" w:hAnsi="Adobe Arabic" w:cs="Adobe Arabic"/>
          <w:b/>
          <w:bCs/>
          <w:color w:val="323E4F" w:themeColor="text2" w:themeShade="BF"/>
          <w:sz w:val="36"/>
          <w:szCs w:val="36"/>
          <w:rtl/>
        </w:rPr>
        <w:lastRenderedPageBreak/>
        <w:t>موارد بطلان الوكالة</w:t>
      </w:r>
      <w:bookmarkEnd w:id="20"/>
    </w:p>
    <w:p w:rsidR="000A1A4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تبطل الوكالة بحصول أحد أمور:</w:t>
      </w:r>
    </w:p>
    <w:p w:rsidR="00C3383E" w:rsidRPr="00724673" w:rsidRDefault="00C3383E" w:rsidP="00C3383E">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Pr>
        <w:pict>
          <v:shape id="_x0000_i1031" type="#_x0000_t75" style="width:375pt;height:489pt">
            <v:imagedata r:id="rId16" o:title="فقه-المحاماة-38"/>
          </v:shape>
        </w:pic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21" w:name="_Toc143687961"/>
      <w:r w:rsidRPr="00CB45DB">
        <w:rPr>
          <w:rFonts w:ascii="Adobe Arabic" w:eastAsia="Times New Roman" w:hAnsi="Adobe Arabic" w:cs="Adobe Arabic"/>
          <w:b/>
          <w:bCs/>
          <w:color w:val="323E4F" w:themeColor="text2" w:themeShade="BF"/>
          <w:sz w:val="36"/>
          <w:szCs w:val="36"/>
          <w:rtl/>
        </w:rPr>
        <w:t>الحكمة من تشريع الوكالة بالخصومة (المحاماة)</w:t>
      </w:r>
      <w:bookmarkEnd w:id="21"/>
    </w:p>
    <w:p w:rsidR="004D7FC6" w:rsidRDefault="000A1A4A" w:rsidP="00C3383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 xml:space="preserve">إنّ الهدف من جميع التشريعات الإسلاميّة هو تحقيق مصالح العباد، والوصول بهم إلى أعلى مدارج الكمال الدنيويّ والأخرويّ </w:t>
      </w:r>
      <w:r w:rsidR="004D7FC6">
        <w:rPr>
          <w:rFonts w:ascii="Adobe Arabic" w:eastAsia="Times New Roman" w:hAnsi="Adobe Arabic" w:cs="Adobe Arabic"/>
          <w:color w:val="000000"/>
          <w:sz w:val="32"/>
          <w:szCs w:val="32"/>
          <w:rtl/>
          <w:lang w:bidi="fa-IR"/>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في آنٍ معًا. ولا يحصل الصعود في مدارج الكمال الدنيويّ إلّا بجلب المنافع ودرء المفاسد، ورفع كلّ حرج ومشقّة عن الإنسان.</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ومن خلال الوكالة بالخصومة تُقضى حاجات مَن لا يستطيع الدفاع عن نفسه ولا قدرة له على بيان حقّه، فلا يضيع حقّه لمجرّد الضعف بالمطالبة به، أو بأن يكون رجلاً كبيراً في السنّ أو مريضاً، أو غير ذلك، ممّا يقف حائلًا أمام بعضهم فيمنعهم عن ذلك.</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والمحاماة، في الواقع، تقوم بدور فعّال في إحقاق الحقّ وإبطال الباطل وبيانه، وتُقدّم المعونة للجهات القانونيّة والقضائيّة في كشف المفاسد والمفسدين وغير ذلك.</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وربّما تكون مصداقًا من مصاديق الإعانة على البرّ والتقوى التي أمر بها الله -تعالى- في قوله: </w:t>
      </w:r>
      <w:r w:rsidRPr="002525C5">
        <w:rPr>
          <w:rFonts w:ascii="Traditional Arabic" w:eastAsia="Times New Roman" w:hAnsi="Traditional Arabic" w:cs="Traditional Arabic"/>
          <w:b/>
          <w:bCs/>
          <w:color w:val="94553C"/>
          <w:sz w:val="32"/>
          <w:szCs w:val="32"/>
          <w:rtl/>
          <w:lang w:bidi="fa-IR"/>
        </w:rPr>
        <w:t>﴿</w:t>
      </w:r>
      <w:r w:rsidRPr="002525C5">
        <w:rPr>
          <w:rFonts w:ascii="Traditional Arabic" w:eastAsia="Times New Roman" w:hAnsi="Traditional Arabic" w:cs="Traditional Arabic"/>
          <w:b/>
          <w:bCs/>
          <w:color w:val="94553C"/>
          <w:sz w:val="32"/>
          <w:szCs w:val="32"/>
          <w:rtl/>
        </w:rPr>
        <w:t>وَتَعَاوَنُواْ عَلَى ٱلۡبِرِّ وَٱلتَّقۡوَىٰۖ</w:t>
      </w:r>
      <w:r w:rsidR="003C24BF">
        <w:rPr>
          <w:rFonts w:ascii="Traditional Arabic" w:eastAsia="Times New Roman" w:hAnsi="Traditional Arabic" w:cs="Traditional Arabic"/>
          <w:b/>
          <w:bCs/>
          <w:color w:val="94553C"/>
          <w:sz w:val="32"/>
          <w:szCs w:val="32"/>
          <w:rtl/>
          <w:lang w:bidi="fa-IR"/>
        </w:rPr>
        <w:t>..</w:t>
      </w:r>
      <w:r w:rsidRPr="002525C5">
        <w:rPr>
          <w:rFonts w:ascii="Traditional Arabic" w:eastAsia="Times New Roman" w:hAnsi="Traditional Arabic" w:cs="Traditional Arabic"/>
          <w:b/>
          <w:bCs/>
          <w:color w:val="94553C"/>
          <w:sz w:val="32"/>
          <w:szCs w:val="32"/>
          <w:rtl/>
          <w:lang w:bidi="fa-IR"/>
        </w:rPr>
        <w:t>﴾</w:t>
      </w:r>
      <w:r w:rsidR="0098604B">
        <w:rPr>
          <w:rStyle w:val="FootnoteReference"/>
          <w:rFonts w:ascii="Traditional Arabic" w:eastAsia="Times New Roman" w:hAnsi="Traditional Arabic" w:cs="Traditional Arabic"/>
          <w:b/>
          <w:bCs/>
          <w:color w:val="94553C"/>
          <w:sz w:val="32"/>
          <w:szCs w:val="32"/>
          <w:rtl/>
          <w:lang w:bidi="fa-IR"/>
        </w:rPr>
        <w:footnoteReference w:id="61"/>
      </w:r>
      <w:r w:rsidRPr="007E5C0E">
        <w:rPr>
          <w:rFonts w:ascii="Adobe Arabic" w:eastAsia="Times New Roman" w:hAnsi="Adobe Arabic" w:cs="Adobe Arabic"/>
          <w:color w:val="000000"/>
          <w:sz w:val="32"/>
          <w:szCs w:val="32"/>
          <w:rtl/>
          <w:lang w:bidi="fa-IR"/>
        </w:rPr>
        <w:t>؛ لما تُسبّبه في إحقاق الحقّ وإزهاق الباطل. وطبعًا، فإنّ هذا لا يتأتّى إلّا من خلال الالتزام التامّ بأحكام الدين عند مزاولة هذه المهنة، وإلّا فإنّ مفاسدها ستكون أكثر من منافعها.</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22" w:name="_Toc143687962"/>
      <w:r w:rsidRPr="00CB45DB">
        <w:rPr>
          <w:rFonts w:ascii="Adobe Arabic" w:eastAsia="Times New Roman" w:hAnsi="Adobe Arabic" w:cs="Adobe Arabic"/>
          <w:b/>
          <w:bCs/>
          <w:color w:val="323E4F" w:themeColor="text2" w:themeShade="BF"/>
          <w:sz w:val="36"/>
          <w:szCs w:val="36"/>
          <w:rtl/>
        </w:rPr>
        <w:t>مصطلحات هامّة</w:t>
      </w:r>
      <w:bookmarkEnd w:id="22"/>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البيّنة الشرعيّة:</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البيّنة دلالة واضحة، عقليّة كانت أو محسوسة، وسُمّيت شهادة الشاهدين بيّنة لقوله </w:t>
      </w:r>
      <w:r w:rsidR="00724673">
        <w:rPr>
          <w:rFonts w:ascii="Adobe Arabic" w:eastAsia="Times New Roman" w:hAnsi="Adobe Arabic" w:cs="Adobe Arabic"/>
          <w:color w:val="000000"/>
          <w:sz w:val="32"/>
          <w:szCs w:val="32"/>
          <w:rtl/>
          <w:lang w:bidi="fa-IR"/>
        </w:rPr>
        <w:t>(صلى الله عليه وآله)</w:t>
      </w:r>
      <w:r w:rsidRPr="007E5C0E">
        <w:rPr>
          <w:rFonts w:ascii="Adobe Arabic" w:eastAsia="Times New Roman" w:hAnsi="Adobe Arabic" w:cs="Adobe Arabic"/>
          <w:color w:val="000000"/>
          <w:sz w:val="32"/>
          <w:szCs w:val="32"/>
          <w:rtl/>
          <w:lang w:bidi="fa-IR"/>
        </w:rPr>
        <w:t>: «البيّنة على المدّعي، واليمين على المدّعى عليه»</w:t>
      </w:r>
      <w:r w:rsidR="0098604B">
        <w:rPr>
          <w:rStyle w:val="FootnoteReference"/>
          <w:rFonts w:ascii="Adobe Arabic" w:eastAsia="Times New Roman" w:hAnsi="Adobe Arabic" w:cs="Adobe Arabic"/>
          <w:color w:val="000000"/>
          <w:sz w:val="32"/>
          <w:szCs w:val="32"/>
          <w:rtl/>
          <w:lang w:bidi="fa-IR"/>
        </w:rPr>
        <w:footnoteReference w:id="62"/>
      </w:r>
      <w:r w:rsidRPr="007E5C0E">
        <w:rPr>
          <w:rFonts w:ascii="Adobe Arabic" w:eastAsia="Times New Roman" w:hAnsi="Adobe Arabic" w:cs="Adobe Arabic"/>
          <w:color w:val="000000"/>
          <w:sz w:val="32"/>
          <w:szCs w:val="32"/>
          <w:rtl/>
          <w:lang w:bidi="fa-IR"/>
        </w:rPr>
        <w:t>، والجمع بيّنات، وفي المحصول البيّنة الحجّة الواضحة.</w:t>
      </w:r>
    </w:p>
    <w:p w:rsidR="004D7FC6"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 xml:space="preserve">اصطلاحًا: في القضاء والحدود، هي عدلين؛ أي رجلين يتّصفان </w:t>
      </w:r>
    </w:p>
    <w:p w:rsidR="004D7FC6" w:rsidRDefault="004D7FC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بالعدالة (في بعض الموارد تصحّ شهادة رجل وامرأتين أو شهادة أربع نساء).</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شهادة الزور:</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وهي تعمّد الكذب، وهي شهادة باطلة وضعًا ومحرّمة تكليفًا.</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صفات الشهود</w:t>
      </w:r>
    </w:p>
    <w:p w:rsidR="000A1A4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وهي أمور:</w:t>
      </w:r>
    </w:p>
    <w:p w:rsidR="00C3383E" w:rsidRPr="00724673" w:rsidRDefault="00C3383E" w:rsidP="00C3383E">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Pr>
        <w:pict>
          <v:shape id="_x0000_i1032" type="#_x0000_t75" style="width:375pt;height:138pt">
            <v:imagedata r:id="rId17" o:title="فقه-المحاماة-40"/>
          </v:shape>
        </w:pic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أ- البلوغ، فلا اعتبار بشهادة الصبيّ غير المميّز مطلقاً، ولا بشهادة المميّز في غير القتل والجرح، ولا بشهادته فيهما إذا لم يبلغ العشر؛ وأمّا لو بلغ عشراً وشهد بالجراح والقتل ففيه تردّد. نعم، لا إشكال في عدم اعتبار شهادة الصبيّة مطلقاً.</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ب- العقل، فلا تُقبل شهادة المجنون حتّى الأدواريّ منه حال جنونه، وأمّا حال عقله وسلامته فتُقبل منه إذا علم الحاكم، بالابتلاء والامتحان، حضور ذهنه وكمال فطنته، وإلّا لم تُقبل، ويلحق به في عدم القبول من غلب عليه السهو أو النسيان أو الغفلة، أو كان به البله، وفي مثل ذلك يجب الاستظهار على الحاكم حتّى يستثبت ما يشهدون به، فاللازم الإعراض عن شهادتهم إلّا في الأمور الجليّة التي يُعلم بعدم سهوهم ونسيانهم وغلطهم في التحمّل والنقل.</w:t>
      </w:r>
    </w:p>
    <w:p w:rsidR="004D7FC6" w:rsidRDefault="004D7F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lastRenderedPageBreak/>
        <w:t>ج- الإسلام، فلا تُقبل شهادة غير المسلم مطلقاً على مؤمن أو غيره أو لهما. نعم، تُقبل شهادة الذمّيّ العدل في دينه في الوصيّة بالمال إذا لم يوجد من عدول المسلمين من يشهد بها. ولا يُعتبر كون الموصي في غربة، فلو كان في وطنه ولم يوجد عدول المسلمين تُقبل شهادة الذمّيّ فيها، ولا يلحق بالذمّيّ الفاسق من أهل الإيمان. وتقبل شهادة المؤمن الجامع للشرائط على جميع الناس من جميع المِلَل، ولا تُقبل شهادة الحربيّ مطلقاً.</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E5C0E">
        <w:rPr>
          <w:rFonts w:ascii="Adobe Arabic" w:eastAsia="Times New Roman" w:hAnsi="Adobe Arabic" w:cs="Adobe Arabic"/>
          <w:color w:val="000000"/>
          <w:sz w:val="32"/>
          <w:szCs w:val="32"/>
          <w:rtl/>
        </w:rPr>
        <w:t>د- العدالة، وهي الملَكَة الرادعة عن معصية الله -تعالى-، فلا تُقبل شهادة الفاسق، وهو المرتكب للكبيرة أو المصرّ على الصغيرة، بل المرتكب للصغيرة على الأحوط إنْ لم يكن الأقوى، فلا تُقبل شهادة مرتكب الصغيرة إلّا مع التوبة وظهور العدالة.</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مسألة: لا تُقبل شهادة كلّ مخالف في شيء من أصول العقائد، بل لا تُقبل شهادة من أنكر ضروريّاً من الإسلام، كمن أنكر الصلاة أو الحجّ أو نحوهما، وإنْ قُلنا بعدم كفره إن كان لشبهة، وتُقبل شهادة المخالِف في الفروع، وإن خالف الإجماع لشبهة.</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٣. الرشوة:</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وهي «ما يبذل للقاضي، ليحكم للباذل بالباطل، أو ليحكم له حقّاً كان أو باطلاً»</w:t>
      </w:r>
      <w:r w:rsidR="0098604B">
        <w:rPr>
          <w:rStyle w:val="FootnoteReference"/>
          <w:rFonts w:ascii="Adobe Arabic" w:eastAsia="Times New Roman" w:hAnsi="Adobe Arabic" w:cs="Adobe Arabic"/>
          <w:color w:val="000000"/>
          <w:sz w:val="32"/>
          <w:szCs w:val="32"/>
          <w:rtl/>
          <w:lang w:bidi="fa-IR"/>
        </w:rPr>
        <w:footnoteReference w:id="63"/>
      </w:r>
      <w:r w:rsidRPr="007E5C0E">
        <w:rPr>
          <w:rFonts w:ascii="Adobe Arabic" w:eastAsia="Times New Roman" w:hAnsi="Adobe Arabic" w:cs="Adobe Arabic"/>
          <w:color w:val="000000"/>
          <w:sz w:val="32"/>
          <w:szCs w:val="32"/>
          <w:rtl/>
          <w:lang w:bidi="fa-IR"/>
        </w:rPr>
        <w:t>.</w:t>
      </w:r>
    </w:p>
    <w:p w:rsidR="004D7FC6"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4D7FC6">
        <w:rPr>
          <w:rFonts w:ascii="Adobe Arabic" w:eastAsia="Times New Roman" w:hAnsi="Adobe Arabic" w:cs="Adobe Arabic"/>
          <w:b/>
          <w:bCs/>
          <w:color w:val="000000"/>
          <w:sz w:val="32"/>
          <w:szCs w:val="32"/>
          <w:rtl/>
          <w:lang w:bidi="fa-IR"/>
        </w:rPr>
        <w:t>حكمها: </w:t>
      </w:r>
      <w:r w:rsidRPr="007E5C0E">
        <w:rPr>
          <w:rFonts w:ascii="Adobe Arabic" w:eastAsia="Times New Roman" w:hAnsi="Adobe Arabic" w:cs="Adobe Arabic"/>
          <w:color w:val="000000"/>
          <w:sz w:val="32"/>
          <w:szCs w:val="32"/>
          <w:rtl/>
          <w:lang w:bidi="fa-IR"/>
        </w:rPr>
        <w:t xml:space="preserve">أخذ الرشوة وإعطاؤها حرام إنْ توصّل بها إلى الحكم له بالباطل. نعم، لو توقّف التوصّل إلى حقّه عليها جاز للدافع وإن </w:t>
      </w:r>
    </w:p>
    <w:p w:rsidR="004D7FC6" w:rsidRDefault="004D7FC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حرم على الآخذ، وهل يجوز الدفع إذا كان محقًّا ولم يتوقّف التوصّل إليه عليها؟ قيل: نعم، والأحوط الترك، بل لا يخلو من قوّة، ويجب على المرتشي إعادتها إلى صاحبها، من غير فرق في جميع ذلك بين أن يكون الرشاء بعنوانه أو بعنوان الهبة أو الهديّة أو البيع المحاباتيّ، ونحو ذلك</w:t>
      </w:r>
      <w:r w:rsidR="0098604B">
        <w:rPr>
          <w:rStyle w:val="FootnoteReference"/>
          <w:rFonts w:ascii="Adobe Arabic" w:eastAsia="Times New Roman" w:hAnsi="Adobe Arabic" w:cs="Adobe Arabic"/>
          <w:color w:val="000000"/>
          <w:sz w:val="32"/>
          <w:szCs w:val="32"/>
          <w:rtl/>
          <w:lang w:bidi="fa-IR"/>
        </w:rPr>
        <w:footnoteReference w:id="64"/>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4. العقد اللّازم:</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هو «ما لا يجوز الرجوع فيه، بإبطاله أو فسخه، إلّا وفق شروط وصفات محدّدة حسب نوع العقد. كعقد الصلح، البيع، الإجارة، والقرض وغير ذلك»</w:t>
      </w:r>
      <w:r w:rsidR="0098604B">
        <w:rPr>
          <w:rStyle w:val="FootnoteReference"/>
          <w:rFonts w:ascii="Adobe Arabic" w:eastAsia="Times New Roman" w:hAnsi="Adobe Arabic" w:cs="Adobe Arabic"/>
          <w:color w:val="000000"/>
          <w:sz w:val="32"/>
          <w:szCs w:val="32"/>
          <w:rtl/>
          <w:lang w:bidi="fa-IR"/>
        </w:rPr>
        <w:footnoteReference w:id="65"/>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5. العقد الجائز:</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وهو ما «يُمكن الرجوع فيه، ويُمكن إبطاله أو فسخه من المتعاقدين، مثل عقد المضاربة، والوديعة، والعارية والوكالة»</w:t>
      </w:r>
      <w:r w:rsidR="0098604B">
        <w:rPr>
          <w:rStyle w:val="FootnoteReference"/>
          <w:rFonts w:ascii="Adobe Arabic" w:eastAsia="Times New Roman" w:hAnsi="Adobe Arabic" w:cs="Adobe Arabic"/>
          <w:color w:val="000000"/>
          <w:sz w:val="32"/>
          <w:szCs w:val="32"/>
          <w:rtl/>
          <w:lang w:bidi="fa-IR"/>
        </w:rPr>
        <w:footnoteReference w:id="66"/>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6. الضمان:</w:t>
      </w:r>
    </w:p>
    <w:p w:rsidR="004D7FC6"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يُطلِق بعض الفقهاء الضمان، ويريدون به ضمّ ذمّة إلى ذمّة</w:t>
      </w:r>
      <w:r w:rsidR="0098604B">
        <w:rPr>
          <w:rStyle w:val="FootnoteReference"/>
          <w:rFonts w:ascii="Adobe Arabic" w:eastAsia="Times New Roman" w:hAnsi="Adobe Arabic" w:cs="Adobe Arabic"/>
          <w:color w:val="000000"/>
          <w:sz w:val="32"/>
          <w:szCs w:val="32"/>
          <w:rtl/>
          <w:lang w:bidi="fa-IR"/>
        </w:rPr>
        <w:footnoteReference w:id="67"/>
      </w:r>
      <w:r w:rsidRPr="007E5C0E">
        <w:rPr>
          <w:rFonts w:ascii="Adobe Arabic" w:eastAsia="Times New Roman" w:hAnsi="Adobe Arabic" w:cs="Adobe Arabic"/>
          <w:color w:val="000000"/>
          <w:sz w:val="32"/>
          <w:szCs w:val="32"/>
          <w:rtl/>
          <w:lang w:bidi="fa-IR"/>
        </w:rPr>
        <w:t xml:space="preserve">، فيكون هو والكفالة بمعنى واحد. ويفرّق بعضهم بينه وبين الكفالة: بأنّ الكفالة تكون للأبدان، والضمان للأموال، ويُطلق بعضهم الآخر الضمان ويريدون به التعويض عن المتلفات والغصب والعيوب </w:t>
      </w:r>
    </w:p>
    <w:p w:rsidR="004D7FC6" w:rsidRDefault="004D7FC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والتغيّرات الطارئة، ويُطلق على ضمان المال والتزامه بعقد أو بغير عقد، ويُطلق على وضع اليد على المال على العموم، بحقٍّ وبغير حقٍّ</w:t>
      </w:r>
      <w:r w:rsidR="0098604B">
        <w:rPr>
          <w:rStyle w:val="FootnoteReference"/>
          <w:rFonts w:ascii="Adobe Arabic" w:eastAsia="Times New Roman" w:hAnsi="Adobe Arabic" w:cs="Adobe Arabic"/>
          <w:color w:val="000000"/>
          <w:sz w:val="32"/>
          <w:szCs w:val="32"/>
          <w:rtl/>
          <w:lang w:bidi="fa-IR"/>
        </w:rPr>
        <w:footnoteReference w:id="68"/>
      </w:r>
      <w:r w:rsidRPr="007E5C0E">
        <w:rPr>
          <w:rFonts w:ascii="Adobe Arabic" w:eastAsia="Times New Roman" w:hAnsi="Adobe Arabic" w:cs="Adobe Arabic"/>
          <w:color w:val="000000"/>
          <w:sz w:val="32"/>
          <w:szCs w:val="32"/>
          <w:rtl/>
          <w:lang w:bidi="fa-IR"/>
        </w:rPr>
        <w:t>.</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7. اليمين الشرعيّة أو الحلف أو القسم:</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يُطلق الحلف والقسم في بعض الأحيان ويُراد منهما اليمين، «وهو تعهّد الإنسان لله بصيغة معيّنة للقيام بعمل حسن أو ترك عمل قبيح»</w:t>
      </w:r>
      <w:r w:rsidR="0098604B">
        <w:rPr>
          <w:rStyle w:val="FootnoteReference"/>
          <w:rFonts w:ascii="Adobe Arabic" w:eastAsia="Times New Roman" w:hAnsi="Adobe Arabic" w:cs="Adobe Arabic"/>
          <w:color w:val="000000"/>
          <w:sz w:val="32"/>
          <w:szCs w:val="32"/>
          <w:rtl/>
          <w:lang w:bidi="fa-IR"/>
        </w:rPr>
        <w:footnoteReference w:id="69"/>
      </w:r>
      <w:r w:rsidRPr="007E5C0E">
        <w:rPr>
          <w:rFonts w:ascii="Adobe Arabic" w:eastAsia="Times New Roman" w:hAnsi="Adobe Arabic" w:cs="Adobe Arabic"/>
          <w:color w:val="000000"/>
          <w:sz w:val="32"/>
          <w:szCs w:val="32"/>
          <w:rtl/>
          <w:lang w:bidi="fa-IR"/>
        </w:rPr>
        <w:t>.</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والحلف لا يصحّ «ولا يترتّب عليه أثر من إسقاط حقٍّ أو إثباته، إلّا أن يكون بالله تعالى أو بأسمائه الخاصّة به تعالى، كالرحمان والقديم والأوّل الذي ليس قبله شيء، وكذا الأوصاف المشتركة المنصرفة إليه تعالى، كالرازق والخالق، بل الأوصاف غير المنصرفة إذا ضمّ إليها ما يجعلها مختصّة به، والأحوط عدم الاكتفاء بالأخير، وأحوط منه عدم الاكتفاء بغير الجلالة، ولا يصحّ بغيره تعالى، كالأنبياء والأوصياء والكتب المنزّلة والأماكن المقدّسة، كالكعبة وغيرها»</w:t>
      </w:r>
      <w:r w:rsidR="0098604B">
        <w:rPr>
          <w:rStyle w:val="FootnoteReference"/>
          <w:rFonts w:ascii="Adobe Arabic" w:eastAsia="Times New Roman" w:hAnsi="Adobe Arabic" w:cs="Adobe Arabic"/>
          <w:color w:val="000000"/>
          <w:sz w:val="32"/>
          <w:szCs w:val="32"/>
          <w:rtl/>
          <w:lang w:bidi="fa-IR"/>
        </w:rPr>
        <w:footnoteReference w:id="70"/>
      </w:r>
      <w:r w:rsidRPr="007E5C0E">
        <w:rPr>
          <w:rFonts w:ascii="Adobe Arabic" w:eastAsia="Times New Roman" w:hAnsi="Adobe Arabic" w:cs="Adobe Arabic"/>
          <w:color w:val="000000"/>
          <w:sz w:val="32"/>
          <w:szCs w:val="32"/>
          <w:rtl/>
          <w:lang w:bidi="fa-IR"/>
        </w:rPr>
        <w:t>.</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و«لا فرق في لزوم الحلف بالله بين أن يكون الحالف والمستحلف مسلمَين أو كَافرَين أو مختلفَين، ولا بين كون الكافر ممّن يعتقد بالله أو يجحده»</w:t>
      </w:r>
      <w:r w:rsidR="0098604B">
        <w:rPr>
          <w:rStyle w:val="FootnoteReference"/>
          <w:rFonts w:ascii="Adobe Arabic" w:eastAsia="Times New Roman" w:hAnsi="Adobe Arabic" w:cs="Adobe Arabic"/>
          <w:color w:val="000000"/>
          <w:sz w:val="32"/>
          <w:szCs w:val="32"/>
          <w:rtl/>
          <w:lang w:bidi="fa-IR"/>
        </w:rPr>
        <w:footnoteReference w:id="71"/>
      </w:r>
      <w:r w:rsidRPr="007E5C0E">
        <w:rPr>
          <w:rFonts w:ascii="Adobe Arabic" w:eastAsia="Times New Roman" w:hAnsi="Adobe Arabic" w:cs="Adobe Arabic"/>
          <w:color w:val="000000"/>
          <w:sz w:val="32"/>
          <w:szCs w:val="32"/>
          <w:rtl/>
          <w:lang w:bidi="fa-IR"/>
        </w:rPr>
        <w:t>.</w:t>
      </w:r>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و«لا يشترط أيضاً في الحلف العربيّة، بل يكفي بأيّ لغةٍ إذا كان باسم الله أوصفاته المختصّة به»</w:t>
      </w:r>
      <w:r w:rsidR="0098604B">
        <w:rPr>
          <w:rStyle w:val="FootnoteReference"/>
          <w:rFonts w:ascii="Adobe Arabic" w:eastAsia="Times New Roman" w:hAnsi="Adobe Arabic" w:cs="Adobe Arabic"/>
          <w:color w:val="000000"/>
          <w:sz w:val="32"/>
          <w:szCs w:val="32"/>
          <w:rtl/>
          <w:lang w:bidi="fa-IR"/>
        </w:rPr>
        <w:footnoteReference w:id="72"/>
      </w:r>
      <w:r w:rsidRPr="007E5C0E">
        <w:rPr>
          <w:rFonts w:ascii="Adobe Arabic" w:eastAsia="Times New Roman" w:hAnsi="Adobe Arabic" w:cs="Adobe Arabic"/>
          <w:color w:val="000000"/>
          <w:sz w:val="32"/>
          <w:szCs w:val="32"/>
          <w:rtl/>
          <w:lang w:bidi="fa-IR"/>
        </w:rPr>
        <w:t>.</w:t>
      </w:r>
    </w:p>
    <w:p w:rsidR="003B070C" w:rsidRDefault="003B070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A1A4A" w:rsidRPr="003B070C" w:rsidRDefault="000A1A4A" w:rsidP="004D7FC6">
      <w:pPr>
        <w:pStyle w:val="Heading1"/>
        <w:bidi/>
        <w:jc w:val="center"/>
        <w:rPr>
          <w:rFonts w:ascii="Adobe Arabic" w:eastAsia="Times New Roman" w:hAnsi="Adobe Arabic" w:cs="Adobe Arabic"/>
          <w:b/>
          <w:bCs/>
          <w:color w:val="94553C"/>
          <w:sz w:val="40"/>
          <w:szCs w:val="40"/>
          <w:rtl/>
        </w:rPr>
      </w:pPr>
      <w:bookmarkStart w:id="23" w:name="_Toc143687963"/>
      <w:r w:rsidRPr="003B070C">
        <w:rPr>
          <w:rFonts w:ascii="Adobe Arabic" w:eastAsia="Times New Roman" w:hAnsi="Adobe Arabic" w:cs="Adobe Arabic"/>
          <w:b/>
          <w:bCs/>
          <w:color w:val="94553C"/>
          <w:sz w:val="40"/>
          <w:szCs w:val="40"/>
          <w:rtl/>
        </w:rPr>
        <w:lastRenderedPageBreak/>
        <w:t>الأحكام الابتلائيّة للمحامي</w:t>
      </w:r>
      <w:bookmarkEnd w:id="23"/>
    </w:p>
    <w:p w:rsidR="000A1A4A" w:rsidRPr="003B070C" w:rsidRDefault="000A1A4A" w:rsidP="003B070C">
      <w:pPr>
        <w:pStyle w:val="Heading2"/>
        <w:bidi/>
        <w:jc w:val="both"/>
        <w:rPr>
          <w:rFonts w:ascii="Adobe Arabic" w:eastAsia="Times New Roman" w:hAnsi="Adobe Arabic" w:cs="Adobe Arabic"/>
          <w:b/>
          <w:bCs/>
          <w:color w:val="323E4F" w:themeColor="text2" w:themeShade="BF"/>
          <w:sz w:val="36"/>
          <w:szCs w:val="36"/>
          <w:rtl/>
        </w:rPr>
      </w:pPr>
      <w:bookmarkStart w:id="24" w:name="_Toc143687964"/>
      <w:r w:rsidRPr="003B070C">
        <w:rPr>
          <w:rFonts w:ascii="Adobe Arabic" w:eastAsia="Times New Roman" w:hAnsi="Adobe Arabic" w:cs="Adobe Arabic"/>
          <w:b/>
          <w:bCs/>
          <w:color w:val="323E4F" w:themeColor="text2" w:themeShade="BF"/>
          <w:sz w:val="36"/>
          <w:szCs w:val="36"/>
          <w:rtl/>
        </w:rPr>
        <w:t>مقدّمة</w:t>
      </w:r>
      <w:bookmarkEnd w:id="24"/>
    </w:p>
    <w:p w:rsidR="000A1A4A" w:rsidRPr="007E5C0E" w:rsidRDefault="000A1A4A" w:rsidP="0098604B">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t>سوف نعرض في هذا القسم الأسئلة التي يُمكن طرحها لمعرفة الحكم الشرعيّ في مسائل يُبتلى بها المحامي عادةً عند مزاولته المهنة، وقد جاءت الإجابات طبقًا لرأي الإمام السيّد عليّ الخامنئيّ </w:t>
      </w:r>
      <w:r w:rsidR="008313D9">
        <w:rPr>
          <w:rFonts w:ascii="Adobe Arabic" w:eastAsia="Times New Roman" w:hAnsi="Adobe Arabic" w:cs="Adobe Arabic"/>
          <w:color w:val="000000"/>
          <w:sz w:val="32"/>
          <w:szCs w:val="32"/>
          <w:rtl/>
          <w:lang w:bidi="fa-IR"/>
        </w:rPr>
        <w:t>(دام ظله)</w:t>
      </w:r>
      <w:r w:rsidR="0098604B">
        <w:rPr>
          <w:rStyle w:val="FootnoteReference"/>
          <w:rFonts w:ascii="Adobe Arabic" w:eastAsia="Times New Roman" w:hAnsi="Adobe Arabic" w:cs="Adobe Arabic"/>
          <w:color w:val="000000"/>
          <w:sz w:val="32"/>
          <w:szCs w:val="32"/>
          <w:rtl/>
          <w:lang w:bidi="fa-IR"/>
        </w:rPr>
        <w:footnoteReference w:id="73"/>
      </w:r>
      <w:r w:rsidRPr="007E5C0E">
        <w:rPr>
          <w:rFonts w:ascii="Adobe Arabic" w:eastAsia="Times New Roman" w:hAnsi="Adobe Arabic" w:cs="Adobe Arabic"/>
          <w:color w:val="000000"/>
          <w:sz w:val="32"/>
          <w:szCs w:val="32"/>
          <w:rtl/>
          <w:lang w:bidi="fa-IR"/>
        </w:rPr>
        <w:t>.</w:t>
      </w:r>
    </w:p>
    <w:p w:rsidR="000A1A4A" w:rsidRPr="003B070C" w:rsidRDefault="000A1A4A" w:rsidP="003B070C">
      <w:pPr>
        <w:pStyle w:val="Heading2"/>
        <w:bidi/>
        <w:jc w:val="both"/>
        <w:rPr>
          <w:rFonts w:ascii="Adobe Arabic" w:eastAsia="Times New Roman" w:hAnsi="Adobe Arabic" w:cs="Adobe Arabic"/>
          <w:b/>
          <w:bCs/>
          <w:color w:val="323E4F" w:themeColor="text2" w:themeShade="BF"/>
          <w:sz w:val="36"/>
          <w:szCs w:val="36"/>
          <w:rtl/>
        </w:rPr>
      </w:pPr>
      <w:bookmarkStart w:id="25" w:name="_Toc143687965"/>
      <w:r w:rsidRPr="003B070C">
        <w:rPr>
          <w:rFonts w:ascii="Adobe Arabic" w:eastAsia="Times New Roman" w:hAnsi="Adobe Arabic" w:cs="Adobe Arabic"/>
          <w:b/>
          <w:bCs/>
          <w:color w:val="323E4F" w:themeColor="text2" w:themeShade="BF"/>
          <w:sz w:val="36"/>
          <w:szCs w:val="36"/>
          <w:rtl/>
        </w:rPr>
        <w:t>في أصل المهنة والعمل بها</w:t>
      </w:r>
      <w:bookmarkEnd w:id="25"/>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هل يجوز العمل في مهنة المحاماة، إن كان ذلك طبقًا للقوانين الوضعيّة؟</w:t>
      </w:r>
    </w:p>
    <w:p w:rsidR="004D7FC6" w:rsidRDefault="00C3383E" w:rsidP="00C3383E">
      <w:pPr>
        <w:jc w:val="cente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Pr>
        <w:pict>
          <v:shape id="_x0000_i1033" type="#_x0000_t75" style="width:375pt;height:245.25pt">
            <v:imagedata r:id="rId18" o:title="فقه-المحاماة-44"/>
          </v:shape>
        </w:pict>
      </w:r>
    </w:p>
    <w:p w:rsidR="00C3383E" w:rsidRDefault="00C3383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bookmarkStart w:id="26" w:name="_GoBack"/>
      <w:bookmarkEnd w:id="26"/>
    </w:p>
    <w:p w:rsidR="000A1A4A" w:rsidRPr="007E5C0E" w:rsidRDefault="00C1482A" w:rsidP="003C24BF">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rPr>
        <w:lastRenderedPageBreak/>
        <w:t>الجواب:</w:t>
      </w:r>
      <w:r w:rsidR="000A1A4A" w:rsidRPr="00724673">
        <w:rPr>
          <w:rFonts w:ascii="Adobe Arabic" w:eastAsia="Times New Roman" w:hAnsi="Adobe Arabic" w:cs="Adobe Arabic"/>
          <w:b/>
          <w:bCs/>
          <w:color w:val="000000"/>
          <w:sz w:val="32"/>
          <w:szCs w:val="32"/>
          <w:rtl/>
        </w:rPr>
        <w:t> </w:t>
      </w:r>
      <w:r w:rsidR="000A1A4A" w:rsidRPr="007E5C0E">
        <w:rPr>
          <w:rFonts w:ascii="Adobe Arabic" w:eastAsia="Times New Roman" w:hAnsi="Adobe Arabic" w:cs="Adobe Arabic"/>
          <w:color w:val="000000"/>
          <w:sz w:val="32"/>
          <w:szCs w:val="32"/>
          <w:rtl/>
          <w:lang w:bidi="fa-IR"/>
        </w:rPr>
        <w:t>لا يجوز العمل بمهنة المحاماة إذا كانت قائمة على تغيير الوقائع والتلاعب بإفادات الشهود كما هو الغالب؛ لأنّه من نوع الكذب المحرَّم، كما لا يجوز الاحتكام إلى القوانين الوضعيّة لمخالفة الكثير منها أحكام الشرع الحنيف. وأخذ الأجرة في مثل هذه الحالة لا يجوز لأنّه أكل مال بالباطل.</w:t>
      </w:r>
      <w:r w:rsidR="003C24BF">
        <w:rPr>
          <w:rFonts w:ascii="Adobe Arabic" w:eastAsia="Times New Roman" w:hAnsi="Adobe Arabic" w:cs="Adobe Arabic" w:hint="cs"/>
          <w:color w:val="000000"/>
          <w:sz w:val="32"/>
          <w:szCs w:val="32"/>
          <w:rtl/>
          <w:lang w:bidi="fa-IR"/>
        </w:rPr>
        <w:t xml:space="preserve"> </w:t>
      </w:r>
      <w:r w:rsidR="000A1A4A" w:rsidRPr="007E5C0E">
        <w:rPr>
          <w:rFonts w:ascii="Adobe Arabic" w:eastAsia="Times New Roman" w:hAnsi="Adobe Arabic" w:cs="Adobe Arabic"/>
          <w:color w:val="000000"/>
          <w:sz w:val="32"/>
          <w:szCs w:val="32"/>
          <w:rtl/>
          <w:lang w:bidi="fa-IR"/>
        </w:rPr>
        <w:t>نعم، إذا التزم المحامي بأحكام الإسلام، فلا مانع من عمله، وتبقى إشكاليّة الاحتكام إلى القوانين الوضعية على حالها من عدم حجّيّتها والحكم بها على أيّ طرف من أطراف الدعوى.</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هل يجب على المحامي تعلّم الأحكام الشرعيّة المتعلّقة بمرافعاته القضائيّة؟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rPr>
        <w:t>الجواب:</w:t>
      </w:r>
      <w:r w:rsidR="000A1A4A" w:rsidRPr="007E5C0E">
        <w:rPr>
          <w:rFonts w:ascii="Adobe Arabic" w:eastAsia="Times New Roman" w:hAnsi="Adobe Arabic" w:cs="Adobe Arabic"/>
          <w:color w:val="000000"/>
          <w:sz w:val="32"/>
          <w:szCs w:val="32"/>
          <w:rtl/>
          <w:lang w:bidi="fa-IR"/>
        </w:rPr>
        <w:t> نعم، يجب عليه تعلّم الأحكام المتعلّقة بعمله؛ لأنّها مورد ابتلائه، وإذا لم يتعلّمها وأخطأ فهو من يتحمَّل المسؤوليّة؛ لأنّه يكون مقصّراً بحق نفسه وهو غير معذور شرعاً.</w:t>
      </w:r>
    </w:p>
    <w:p w:rsidR="000A1A4A" w:rsidRPr="003B070C" w:rsidRDefault="000A1A4A" w:rsidP="003B070C">
      <w:pPr>
        <w:pStyle w:val="Heading2"/>
        <w:bidi/>
        <w:jc w:val="both"/>
        <w:rPr>
          <w:rFonts w:ascii="Adobe Arabic" w:eastAsia="Times New Roman" w:hAnsi="Adobe Arabic" w:cs="Adobe Arabic"/>
          <w:b/>
          <w:bCs/>
          <w:color w:val="323E4F" w:themeColor="text2" w:themeShade="BF"/>
          <w:sz w:val="36"/>
          <w:szCs w:val="36"/>
          <w:rtl/>
        </w:rPr>
      </w:pPr>
      <w:bookmarkStart w:id="27" w:name="_Toc143687966"/>
      <w:r w:rsidRPr="003B070C">
        <w:rPr>
          <w:rFonts w:ascii="Adobe Arabic" w:eastAsia="Times New Roman" w:hAnsi="Adobe Arabic" w:cs="Adobe Arabic"/>
          <w:b/>
          <w:bCs/>
          <w:color w:val="323E4F" w:themeColor="text2" w:themeShade="BF"/>
          <w:sz w:val="36"/>
          <w:szCs w:val="36"/>
          <w:rtl/>
        </w:rPr>
        <w:t>في الوكالة والوكيل والموكّل والمرافعات</w:t>
      </w:r>
      <w:bookmarkEnd w:id="27"/>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إنْ كُنتُ وكيلاً ومات الموكِّل قبل إنهاء القضيّة، فما حكم وكالتي هنا، هل تبقى سارية المفعول؟</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rPr>
        <w:t>الجواب:</w:t>
      </w:r>
      <w:r w:rsidR="000A1A4A" w:rsidRPr="007E5C0E">
        <w:rPr>
          <w:rFonts w:ascii="Adobe Arabic" w:eastAsia="Times New Roman" w:hAnsi="Adobe Arabic" w:cs="Adobe Arabic"/>
          <w:color w:val="000000"/>
          <w:sz w:val="32"/>
          <w:szCs w:val="32"/>
          <w:rtl/>
          <w:lang w:bidi="fa-IR"/>
        </w:rPr>
        <w:t> تبطل الوكالة بموت الموكّل، ولا يجوز للوكيل العمل على طبقها بعد ذلك.</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2. ما هي مبطلات الوكالة؟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rPr>
        <w:t>الجواب:</w:t>
      </w:r>
      <w:r w:rsidR="000A1A4A" w:rsidRPr="007E5C0E">
        <w:rPr>
          <w:rFonts w:ascii="Adobe Arabic" w:eastAsia="Times New Roman" w:hAnsi="Adobe Arabic" w:cs="Adobe Arabic"/>
          <w:color w:val="000000"/>
          <w:sz w:val="32"/>
          <w:szCs w:val="32"/>
          <w:rtl/>
          <w:lang w:bidi="fa-IR"/>
        </w:rPr>
        <w:t> تبطل الوكالة بموت الوكيل، أو موت الموكِّل، أو بعروض الجنون على كلٍّ منهما كما تقدّم، وبالإغماء على الأحوط، وبتلف متعلّقها، وبفعل متعلّقها.</w:t>
      </w:r>
    </w:p>
    <w:p w:rsidR="004D7FC6" w:rsidRDefault="004D7FC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C3383E" w:rsidRDefault="00C3383E" w:rsidP="00C3383E">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Pr>
        <w:lastRenderedPageBreak/>
        <w:pict>
          <v:shape id="_x0000_i1034" type="#_x0000_t75" style="width:375pt;height:219.75pt">
            <v:imagedata r:id="rId19" o:title="فقه-المحاماة-46"/>
          </v:shape>
        </w:pict>
      </w:r>
    </w:p>
    <w:p w:rsidR="000A1A4A" w:rsidRPr="00724673" w:rsidRDefault="000A1A4A" w:rsidP="00C3383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3. هل تتحقّق الوكالة بالكتابة أم لا بدّ من إنشائها باللّفظ؟</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rPr>
        <w:t>الجواب:</w:t>
      </w:r>
      <w:r w:rsidR="000A1A4A" w:rsidRPr="007E5C0E">
        <w:rPr>
          <w:rFonts w:ascii="Adobe Arabic" w:eastAsia="Times New Roman" w:hAnsi="Adobe Arabic" w:cs="Adobe Arabic"/>
          <w:color w:val="000000"/>
          <w:sz w:val="32"/>
          <w:szCs w:val="32"/>
          <w:rtl/>
          <w:lang w:bidi="fa-IR"/>
        </w:rPr>
        <w:t> تتحقّق الوكالة بالكتابة أيضاً.</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4. هل يصحّ للمحامي أن يكون وكيلًا في الطلاق؟</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rPr>
        <w:t>الجواب:</w:t>
      </w:r>
      <w:r w:rsidR="000A1A4A" w:rsidRPr="00724673">
        <w:rPr>
          <w:rFonts w:ascii="Adobe Arabic" w:eastAsia="Times New Roman" w:hAnsi="Adobe Arabic" w:cs="Adobe Arabic"/>
          <w:b/>
          <w:bCs/>
          <w:color w:val="000000"/>
          <w:sz w:val="32"/>
          <w:szCs w:val="32"/>
          <w:rtl/>
        </w:rPr>
        <w:t> </w:t>
      </w:r>
      <w:r w:rsidR="000A1A4A" w:rsidRPr="007E5C0E">
        <w:rPr>
          <w:rFonts w:ascii="Adobe Arabic" w:eastAsia="Times New Roman" w:hAnsi="Adobe Arabic" w:cs="Adobe Arabic"/>
          <w:color w:val="000000"/>
          <w:sz w:val="32"/>
          <w:szCs w:val="32"/>
          <w:rtl/>
          <w:lang w:bidi="fa-IR"/>
        </w:rPr>
        <w:t>يصحّ توكيله في الطلاق.</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5. ما هو المقصود بالوكالة المطلقة شرعًا؟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الوكالة المطلقة هي التي تكون عامّة وشاملة من جهة المتعلّق بها.</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6. هل الوكالة لازمة أم جائزة؟ ومتى تُصبح لازمة؟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الوكالة عقد جائز، وتصبح لازمة إذا اشترط ذلك ضمن العقد اللازم.</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7. هل يجوز قبول الوكالة من جهات تجاريّة تبيع في المزاد العلنيّ بضائع وحاجيّات مجهولة المالك، كتلك التي تبيعها الدولة في حال عدم تسديد السندات الماليّة من قِبَل أصحابها؟</w:t>
      </w:r>
    </w:p>
    <w:p w:rsidR="004D7FC6"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xml:space="preserve"> يشترط في الوكالة أن تكون في أمور مباحة ومحلَّلة </w:t>
      </w:r>
    </w:p>
    <w:p w:rsidR="004D7FC6" w:rsidRDefault="004D7FC6">
      <w:pP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rtl/>
          <w:lang w:bidi="fa-IR"/>
        </w:rPr>
        <w:br w:type="page"/>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7E5C0E">
        <w:rPr>
          <w:rFonts w:ascii="Adobe Arabic" w:eastAsia="Times New Roman" w:hAnsi="Adobe Arabic" w:cs="Adobe Arabic"/>
          <w:color w:val="000000"/>
          <w:sz w:val="32"/>
          <w:szCs w:val="32"/>
          <w:rtl/>
          <w:lang w:bidi="fa-IR"/>
        </w:rPr>
        <w:lastRenderedPageBreak/>
        <w:t>شرعاً، وأن يكون للموكّل أو الوكيل السلطنة شرعاً فيها. وفي مجهول المالك لا بدّ من إجازة الحاكم الشرعيّ.</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8. هل يجوز قَبول الوكالة من المسيحيّ؟</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مانع منه في الأمور المباحة والمحلّلة شرعاً.</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9. هل يجوز للوكيل توكيل غيره؟</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يصحّ للوكيل توكيل غيره فيما وكّل به، إلّا إذا كان مجازاً في ذلك.</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10. هل يجوز للوكيل أن يعتزل عن الوكالة في ظرف حسّاس من المرافعة، كأن يكون اعتزاله سببًا في تضييع الجهود التي بُذلت في إحقاق الحقّ؟</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يجوز للوكيل اعتزال الوكالة.</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11. هل يجوز للوكيل (المحامي) المصالحة عن الحقّ أو الإبراء منه دون إذن الموكِّل؟</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ليس للوكيل المصالحة عن الحقّ أو الإبراء منه، إلّا إذا كان وكيلاً بذلك بالخصوص.</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12. هل يجوز رفض قضيّة يعلم المحامي أنّه يستطيع من خلالها أن ينصر مظلوماً؟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قبول الوكالة ليس بواجب حتّى في الفرض المذكور، إلّا إذا توقّف رفع الظلم عن الآخرين عليه بالخصوص.</w:t>
      </w:r>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13. هل يجب على المحامي التصدّي للدفاع عن شخصٍ يعلم أنّه مظلوم؟</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يجب عليه ذلك، إلّا إذا توقّف رفع الظلم عليه بالخصوص.</w:t>
      </w:r>
    </w:p>
    <w:p w:rsidR="004D7FC6" w:rsidRDefault="004D7FC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C3383E" w:rsidRDefault="00166227" w:rsidP="00166227">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Pr>
        <w:lastRenderedPageBreak/>
        <w:pict>
          <v:shape id="_x0000_i1035" type="#_x0000_t75" style="width:375pt;height:122.25pt">
            <v:imagedata r:id="rId20" o:title="فقه-المحاماة-48"/>
          </v:shape>
        </w:pict>
      </w:r>
    </w:p>
    <w:p w:rsidR="000A1A4A" w:rsidRPr="00724673" w:rsidRDefault="000A1A4A" w:rsidP="00C3383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14. أعمل في مكتب محاماة، وترِدُنا قضايا ومعاملات تابعة لشركات أجنبيّة، وأفراد أجانب غير مسلمين أيضاً، فهل يجوز الدفاع عنهم والمرافعة في مواجهة المسلمين؟ وهل في ذلك موالاة لهم؟</w:t>
      </w:r>
    </w:p>
    <w:p w:rsidR="000A1A4A"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مانع منه في نفسه إذا كان فعلاً مباحاً.</w:t>
      </w:r>
    </w:p>
    <w:p w:rsidR="00166227" w:rsidRPr="007E5C0E" w:rsidRDefault="00166227" w:rsidP="00166227">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 id="_x0000_i1036" type="#_x0000_t75" style="width:375pt;height:113.25pt">
            <v:imagedata r:id="rId21" o:title="فقه-المحاماة--48"/>
          </v:shape>
        </w:pict>
      </w:r>
    </w:p>
    <w:p w:rsidR="000A1A4A" w:rsidRPr="003B070C" w:rsidRDefault="000A1A4A" w:rsidP="003B070C">
      <w:pPr>
        <w:pStyle w:val="Heading2"/>
        <w:bidi/>
        <w:jc w:val="both"/>
        <w:rPr>
          <w:rFonts w:ascii="Adobe Arabic" w:eastAsia="Times New Roman" w:hAnsi="Adobe Arabic" w:cs="Adobe Arabic"/>
          <w:b/>
          <w:bCs/>
          <w:color w:val="323E4F" w:themeColor="text2" w:themeShade="BF"/>
          <w:sz w:val="36"/>
          <w:szCs w:val="36"/>
          <w:rtl/>
        </w:rPr>
      </w:pPr>
      <w:bookmarkStart w:id="28" w:name="_Toc143687967"/>
      <w:r w:rsidRPr="003B070C">
        <w:rPr>
          <w:rFonts w:ascii="Adobe Arabic" w:eastAsia="Times New Roman" w:hAnsi="Adobe Arabic" w:cs="Adobe Arabic"/>
          <w:b/>
          <w:bCs/>
          <w:color w:val="323E4F" w:themeColor="text2" w:themeShade="BF"/>
          <w:sz w:val="36"/>
          <w:szCs w:val="36"/>
          <w:rtl/>
        </w:rPr>
        <w:t>الدفاع عمّا يخالف الشرع</w:t>
      </w:r>
      <w:bookmarkEnd w:id="28"/>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هل يجوز للمحامي الدفاع عن قانون من قوانين نظام الدولة غير الإسلاميّة، وهو يعلم أنّ هذا القانون لا ينسجم مع الشرع الإسلاميّ، أو يؤدّي إلى إضعاف بعض الأحكام الشرعيّة، كالحجاب مثلاً؟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الدفاع عمّا يخالف الشرع الإسلاميّ المقدّس.</w:t>
      </w:r>
    </w:p>
    <w:p w:rsidR="000A1A4A" w:rsidRPr="003B070C" w:rsidRDefault="000A1A4A" w:rsidP="003B070C">
      <w:pPr>
        <w:pStyle w:val="Heading2"/>
        <w:bidi/>
        <w:jc w:val="both"/>
        <w:rPr>
          <w:rFonts w:ascii="Adobe Arabic" w:eastAsia="Times New Roman" w:hAnsi="Adobe Arabic" w:cs="Adobe Arabic"/>
          <w:b/>
          <w:bCs/>
          <w:color w:val="323E4F" w:themeColor="text2" w:themeShade="BF"/>
          <w:sz w:val="36"/>
          <w:szCs w:val="36"/>
          <w:rtl/>
        </w:rPr>
      </w:pPr>
      <w:bookmarkStart w:id="29" w:name="_Toc143687968"/>
      <w:r w:rsidRPr="003B070C">
        <w:rPr>
          <w:rFonts w:ascii="Adobe Arabic" w:eastAsia="Times New Roman" w:hAnsi="Adobe Arabic" w:cs="Adobe Arabic"/>
          <w:b/>
          <w:bCs/>
          <w:color w:val="323E4F" w:themeColor="text2" w:themeShade="BF"/>
          <w:sz w:val="36"/>
          <w:szCs w:val="36"/>
          <w:rtl/>
        </w:rPr>
        <w:t>الظلم والدفاع عن الباطل</w:t>
      </w:r>
      <w:bookmarkEnd w:id="29"/>
    </w:p>
    <w:p w:rsidR="000A1A4A" w:rsidRPr="00724673"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724673">
        <w:rPr>
          <w:rFonts w:ascii="Adobe Arabic" w:eastAsia="Times New Roman" w:hAnsi="Adobe Arabic" w:cs="Adobe Arabic"/>
          <w:b/>
          <w:bCs/>
          <w:color w:val="000000"/>
          <w:sz w:val="32"/>
          <w:szCs w:val="32"/>
          <w:rtl/>
        </w:rPr>
        <w:t>1. هل يجوز أن أقبل قضيّة يظهر لي في بادئ الأمر أنّ فيها ظلمًا؟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الدفاع عن الباطل.</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2. هل يجوز قبول قضيّة أعلم أنّها ظالمة؟</w:t>
      </w:r>
    </w:p>
    <w:p w:rsidR="004D7FC6" w:rsidRDefault="004D7FC6">
      <w:pPr>
        <w:rPr>
          <w:rFonts w:ascii="Adobe Arabic" w:eastAsia="Times New Roman" w:hAnsi="Adobe Arabic" w:cs="Adobe Arabic"/>
          <w:b/>
          <w:bCs/>
          <w:color w:val="000000"/>
          <w:sz w:val="32"/>
          <w:szCs w:val="32"/>
          <w:rtl/>
          <w:lang w:bidi="fa-IR"/>
        </w:rPr>
      </w:pPr>
      <w:r>
        <w:rPr>
          <w:rFonts w:ascii="Adobe Arabic" w:eastAsia="Times New Roman" w:hAnsi="Adobe Arabic" w:cs="Adobe Arabic"/>
          <w:b/>
          <w:bCs/>
          <w:color w:val="000000"/>
          <w:sz w:val="32"/>
          <w:szCs w:val="32"/>
          <w:rtl/>
          <w:lang w:bidi="fa-IR"/>
        </w:rPr>
        <w:br w:type="page"/>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lastRenderedPageBreak/>
        <w:t>الجواب:</w:t>
      </w:r>
      <w:r w:rsidR="000A1A4A" w:rsidRPr="007E5C0E">
        <w:rPr>
          <w:rFonts w:ascii="Adobe Arabic" w:eastAsia="Times New Roman" w:hAnsi="Adobe Arabic" w:cs="Adobe Arabic"/>
          <w:color w:val="000000"/>
          <w:sz w:val="32"/>
          <w:szCs w:val="32"/>
          <w:rtl/>
          <w:lang w:bidi="fa-IR"/>
        </w:rPr>
        <w:t> لا يجوز ذلك.</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3. لو أنّ قضيّة ما قُدّمت لي كي أتبنّاها للدفاع فيها؟ وقد شككت في أنّ ثمّة أمورًا ملتبسة وغير واضحة، فهل يجوز تسلّمها منذ البداية؟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مانع من قبول القضيّة في الفرض المذكور، ولكن إذا كان هناك ظلم وباطل، لا يجوز الاستمرار في الدفاع عنها.</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4. تأتيني بعض الدعاوى التي أعلم أنّ ثمّة ظالماً ومظلوماً، فهل يجب في هذه الحال أن أتسلّم قضيّة كهذه، وأنا أعلم أنّ عدم تسلّمي لها سيؤدّي إلى ضياع حقّ المظلوم قطعًا؟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يجب قبولها، إلّا إذا توقّف إحقاق الحقّ ودفع الظلم عليك بالخصوص.</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5. هل يجوز للمحامي التنحّي عن القضيّة قبل إنهاء الدفاع كاملًا؟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يجوز ذلك.</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6. أحياناً يُضطرّ المحامي إلى المبالغة في بيان حقّ المدّعى عليه (الموكِّل)، فهل يُعتبر ذلك مخالفًا للشرع؟</w:t>
      </w:r>
    </w:p>
    <w:p w:rsidR="000A1A4A"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إذا لم يكن في المبالغة تحريف للواقع، ولا تضليل، ولا كذب، ولا تزوير للحقائق، فلا إشكال.</w:t>
      </w:r>
    </w:p>
    <w:p w:rsidR="00166227" w:rsidRPr="007E5C0E" w:rsidRDefault="00166227" w:rsidP="00166227">
      <w:pPr>
        <w:bidi/>
        <w:spacing w:before="100" w:beforeAutospacing="1" w:after="100" w:afterAutospacing="1" w:line="240" w:lineRule="auto"/>
        <w:jc w:val="center"/>
        <w:rPr>
          <w:rFonts w:ascii="Adobe Arabic" w:eastAsia="Times New Roman" w:hAnsi="Adobe Arabic" w:cs="Adobe Arabic"/>
          <w:color w:val="000000"/>
          <w:sz w:val="32"/>
          <w:szCs w:val="32"/>
          <w:rtl/>
          <w:lang w:bidi="fa-IR"/>
        </w:rPr>
      </w:pPr>
      <w:r>
        <w:rPr>
          <w:rFonts w:ascii="Adobe Arabic" w:eastAsia="Times New Roman" w:hAnsi="Adobe Arabic" w:cs="Adobe Arabic"/>
          <w:color w:val="000000"/>
          <w:sz w:val="32"/>
          <w:szCs w:val="32"/>
          <w:lang w:bidi="fa-IR"/>
        </w:rPr>
        <w:pict>
          <v:shape id="_x0000_i1037" type="#_x0000_t75" style="width:375pt;height:185.25pt">
            <v:imagedata r:id="rId22" o:title="فقه-المحاماة-49"/>
          </v:shape>
        </w:pict>
      </w:r>
    </w:p>
    <w:p w:rsidR="004D7FC6" w:rsidRDefault="004D7FC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lastRenderedPageBreak/>
        <w:t>7. من المعروف أنّ قانون الإيجارات يختلف في بعض جوانبه عن أحكام الإجارة الشرعيّة، فهل يجوز للمحامي الدفاع عن مستأجر -مثلاً- لا يترك المأجور؛ تبعًا لقانون الإيجارات المتّبع في القانون الوضعيّ؟</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إذا كان عقد الإجارة موافقاً للقانون السائد في البلد فهو بحكم الشرط، ولا مانع من المطالبة به.</w:t>
      </w:r>
    </w:p>
    <w:p w:rsidR="000A1A4A" w:rsidRPr="003B070C" w:rsidRDefault="000A1A4A" w:rsidP="003B070C">
      <w:pPr>
        <w:pStyle w:val="Heading2"/>
        <w:bidi/>
        <w:jc w:val="both"/>
        <w:rPr>
          <w:rFonts w:ascii="Adobe Arabic" w:eastAsia="Times New Roman" w:hAnsi="Adobe Arabic" w:cs="Adobe Arabic"/>
          <w:b/>
          <w:bCs/>
          <w:color w:val="323E4F" w:themeColor="text2" w:themeShade="BF"/>
          <w:sz w:val="36"/>
          <w:szCs w:val="36"/>
          <w:rtl/>
        </w:rPr>
      </w:pPr>
      <w:bookmarkStart w:id="30" w:name="_Toc143687969"/>
      <w:r w:rsidRPr="003B070C">
        <w:rPr>
          <w:rFonts w:ascii="Adobe Arabic" w:eastAsia="Times New Roman" w:hAnsi="Adobe Arabic" w:cs="Adobe Arabic"/>
          <w:b/>
          <w:bCs/>
          <w:color w:val="323E4F" w:themeColor="text2" w:themeShade="BF"/>
          <w:sz w:val="36"/>
          <w:szCs w:val="36"/>
          <w:rtl/>
        </w:rPr>
        <w:t>الدفاع عن مرتكب الحرام</w:t>
      </w:r>
      <w:bookmarkEnd w:id="30"/>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1. كثير من الأحيان يُطلب من المحامي الدفاع عن أشخاص يتعاطون المخدّرات أو يُتاجرون بها، فهل يجوز للمحامي تسلّم قضايا كهذه في الأصل؟</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الدفاع عن الأشخاص الذين يرتكبون الحرام فيما فعلوه من الحرام.</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2. في بعض الأحيان تُكلّفنا بعض الجهات الرسميّة أو غير الرسميّة دعاوى تتعلّق ببناء مسجد على أرض تدّعي فيها أنّ هذا المسجد مبنيّ على أرض تابعة للدولة، فهل يجوز تسلّم دعوى كهذه؟</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إذا كان المسجد في ملك الغير فيجوز، وإلّا فلا.</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3. هل يجوز للمحامي أن يكذب للوصول إلى استرداد حقّ المظلوم؟</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ذلك.</w:t>
      </w:r>
    </w:p>
    <w:p w:rsidR="000A1A4A" w:rsidRPr="003B070C" w:rsidRDefault="000A1A4A" w:rsidP="003B070C">
      <w:pPr>
        <w:pStyle w:val="Heading2"/>
        <w:bidi/>
        <w:jc w:val="both"/>
        <w:rPr>
          <w:rFonts w:ascii="Adobe Arabic" w:eastAsia="Times New Roman" w:hAnsi="Adobe Arabic" w:cs="Adobe Arabic"/>
          <w:b/>
          <w:bCs/>
          <w:color w:val="323E4F" w:themeColor="text2" w:themeShade="BF"/>
          <w:sz w:val="36"/>
          <w:szCs w:val="36"/>
          <w:rtl/>
        </w:rPr>
      </w:pPr>
      <w:bookmarkStart w:id="31" w:name="_Toc143687970"/>
      <w:r w:rsidRPr="003B070C">
        <w:rPr>
          <w:rFonts w:ascii="Adobe Arabic" w:eastAsia="Times New Roman" w:hAnsi="Adobe Arabic" w:cs="Adobe Arabic"/>
          <w:b/>
          <w:bCs/>
          <w:color w:val="323E4F" w:themeColor="text2" w:themeShade="BF"/>
          <w:sz w:val="36"/>
          <w:szCs w:val="36"/>
          <w:rtl/>
        </w:rPr>
        <w:t>في موارد الكسب وأجرة الأتعاب والأمور الماليّة</w:t>
      </w:r>
      <w:bookmarkEnd w:id="31"/>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1. هل يوجد حدّ معيّن لأجرة الأتعاب شرعًا في الدفاع عن مظلومٍ في قضيّةٍ ما؟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يوجد لذلك حدّ معيّن، بل ما يتوافق عليه الطرفان.</w:t>
      </w:r>
    </w:p>
    <w:p w:rsidR="004D7FC6" w:rsidRDefault="004D7FC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lastRenderedPageBreak/>
        <w:t>2. إذا دافع المحامي عن ظالمٍ وهو يعلم بذلك في بادئ الأمر، فما حكم المال الذي يكتسبه من هذه القضيّة؟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يستحقّ المال في الفرض المذكور.</w:t>
      </w:r>
    </w:p>
    <w:p w:rsidR="000A1A4A" w:rsidRPr="007E5C0E" w:rsidRDefault="000A1A4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1482A">
        <w:rPr>
          <w:rFonts w:ascii="Adobe Arabic" w:eastAsia="Times New Roman" w:hAnsi="Adobe Arabic" w:cs="Adobe Arabic"/>
          <w:b/>
          <w:bCs/>
          <w:color w:val="000000"/>
          <w:sz w:val="32"/>
          <w:szCs w:val="32"/>
          <w:rtl/>
        </w:rPr>
        <w:t>3. إذا دافع المحامي عن ظالم ولم يكن يعلم أنّه ظالم لإخفاء أمرٍ ما، فما حكم المال الذي اكتسبه من هذه</w:t>
      </w:r>
      <w:r w:rsidRPr="007E5C0E">
        <w:rPr>
          <w:rFonts w:ascii="Adobe Arabic" w:eastAsia="Times New Roman" w:hAnsi="Adobe Arabic" w:cs="Adobe Arabic"/>
          <w:color w:val="000000"/>
          <w:sz w:val="32"/>
          <w:szCs w:val="32"/>
          <w:rtl/>
        </w:rPr>
        <w:t xml:space="preserve"> القضيّة؟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يستحقّ المال.</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4. هل يجوز اشتراط قيمة البدل الماليّ في القضايا التي فيها دفاع عن شيء يتعلّق بحفظ صورة الإسلام؟</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يجوز ذلك.</w:t>
      </w:r>
    </w:p>
    <w:p w:rsidR="000A1A4A" w:rsidRPr="003B070C" w:rsidRDefault="000A1A4A" w:rsidP="003B070C">
      <w:pPr>
        <w:pStyle w:val="Heading2"/>
        <w:bidi/>
        <w:jc w:val="both"/>
        <w:rPr>
          <w:rFonts w:ascii="Adobe Arabic" w:eastAsia="Times New Roman" w:hAnsi="Adobe Arabic" w:cs="Adobe Arabic"/>
          <w:b/>
          <w:bCs/>
          <w:color w:val="323E4F" w:themeColor="text2" w:themeShade="BF"/>
          <w:sz w:val="36"/>
          <w:szCs w:val="36"/>
          <w:rtl/>
        </w:rPr>
      </w:pPr>
      <w:bookmarkStart w:id="32" w:name="_Toc143687971"/>
      <w:r w:rsidRPr="003B070C">
        <w:rPr>
          <w:rFonts w:ascii="Adobe Arabic" w:eastAsia="Times New Roman" w:hAnsi="Adobe Arabic" w:cs="Adobe Arabic"/>
          <w:b/>
          <w:bCs/>
          <w:color w:val="323E4F" w:themeColor="text2" w:themeShade="BF"/>
          <w:sz w:val="36"/>
          <w:szCs w:val="36"/>
          <w:rtl/>
        </w:rPr>
        <w:t>حرمة الرشوة</w:t>
      </w:r>
      <w:bookmarkEnd w:id="32"/>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1. ما هي الرشوة؟ ومتى تكون محرّمة؟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الرشوة حرام شرعاً، وهي دفع مال أو غيره للغير من أجل استمالته لمصلحته في مقام التحاكم، ويلحق بها دفع المال للموظّف ونحوه من أجل استمالته إليه، كتقديمه على الآخرين، أو إنجاز معاملة على خلاف القانون أو الشرع.</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2. ما الفرق بين الرشوة والإكراميّة؟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الهديّة والإكراميّة هي المال الذي يُعطى لشخص من أجل أن يقوم له بفعلٍ، أو من أجل قيامه له بفعل، ولم يكن في هذا الفعل مخالفة شرعيّة أو قانونيّة، على عكس الرشوة، كما تقدّم.</w:t>
      </w:r>
    </w:p>
    <w:p w:rsidR="000A1A4A" w:rsidRPr="003B070C" w:rsidRDefault="000A1A4A" w:rsidP="003B070C">
      <w:pPr>
        <w:pStyle w:val="Heading2"/>
        <w:bidi/>
        <w:jc w:val="both"/>
        <w:rPr>
          <w:rFonts w:ascii="Adobe Arabic" w:eastAsia="Times New Roman" w:hAnsi="Adobe Arabic" w:cs="Adobe Arabic"/>
          <w:b/>
          <w:bCs/>
          <w:color w:val="323E4F" w:themeColor="text2" w:themeShade="BF"/>
          <w:sz w:val="36"/>
          <w:szCs w:val="36"/>
          <w:rtl/>
        </w:rPr>
      </w:pPr>
      <w:bookmarkStart w:id="33" w:name="_Toc143687972"/>
      <w:r w:rsidRPr="003B070C">
        <w:rPr>
          <w:rFonts w:ascii="Adobe Arabic" w:eastAsia="Times New Roman" w:hAnsi="Adobe Arabic" w:cs="Adobe Arabic"/>
          <w:b/>
          <w:bCs/>
          <w:color w:val="323E4F" w:themeColor="text2" w:themeShade="BF"/>
          <w:sz w:val="36"/>
          <w:szCs w:val="36"/>
          <w:rtl/>
        </w:rPr>
        <w:t>التأخير في العمل</w:t>
      </w:r>
      <w:bookmarkEnd w:id="33"/>
    </w:p>
    <w:p w:rsidR="004D7FC6"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 xml:space="preserve">1. على فرض تحديد المحامي موعدًا للبتّ في قضيّة ما، ولكن طرأ ما </w:t>
      </w:r>
    </w:p>
    <w:p w:rsidR="004D7FC6" w:rsidRDefault="004D7FC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lastRenderedPageBreak/>
        <w:t>يؤخّر ذلك، فهل يجب عليَّ ردُّ المال الذي أخذتُه من الموكِّل إزاء إنهاء القضيّة؟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إذا كانت الوكالة مشروطة بوقت معيّن، ولم يُنجز العمل الموكَّل فيه في الوقت المحدّد، لم يستحقّ الوكيل الأجرة المسمّاة حينئذٍ.</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2. هل يجوز للمحامي مطالبة المدين بالفوائد (الربا) في حال تأخّره عن تسديد الدين.</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ذلك.</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34" w:name="_Toc143687973"/>
      <w:r w:rsidRPr="00CB45DB">
        <w:rPr>
          <w:rFonts w:ascii="Adobe Arabic" w:eastAsia="Times New Roman" w:hAnsi="Adobe Arabic" w:cs="Adobe Arabic"/>
          <w:b/>
          <w:bCs/>
          <w:color w:val="323E4F" w:themeColor="text2" w:themeShade="BF"/>
          <w:sz w:val="36"/>
          <w:szCs w:val="36"/>
          <w:rtl/>
        </w:rPr>
        <w:t>في الشهادة</w:t>
      </w:r>
      <w:bookmarkEnd w:id="34"/>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1. هل يُشترط أنّ يكون الشاهد في قضيّة ما عادلًا؟ وما المقصود بالعدالة من الناحية الشرعيّة؟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يشترط في الشاهد أن يكون عادلاً، والعدالة هي بلوغ الشخص درجةً من التقوى تمنعه من ارتكاب الحرام عمداً.</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2. من المعروف أنّ شروط الشهادة في القانون الوضعيّ تختلف عمّا هي في التشريع الإسلاميّ، فما الحكم الشرعيّ فيما لو اعتمد المحامي عليها في القضيّة التي وكِّل بها؟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الاستناد إلى شهادة غير العدول.</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35" w:name="_Toc143687974"/>
      <w:r w:rsidRPr="00CB45DB">
        <w:rPr>
          <w:rFonts w:ascii="Adobe Arabic" w:eastAsia="Times New Roman" w:hAnsi="Adobe Arabic" w:cs="Adobe Arabic"/>
          <w:b/>
          <w:bCs/>
          <w:color w:val="323E4F" w:themeColor="text2" w:themeShade="BF"/>
          <w:sz w:val="36"/>
          <w:szCs w:val="36"/>
          <w:rtl/>
        </w:rPr>
        <w:t>في تخفيف العقوبة عن الجاني</w:t>
      </w:r>
      <w:bookmarkEnd w:id="35"/>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1. هل يجوز للمحامي العمل على تخفيف العقوبة إن كان الموكِّل يستحقّها حسب القوانين الوضعيّة المتّبعة في بلدٍ ما؟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إذا لم يكن ذلك مخالفاً للشرع فلا مانع منه.</w:t>
      </w:r>
    </w:p>
    <w:p w:rsidR="004D7FC6" w:rsidRDefault="004D7FC6">
      <w:pPr>
        <w:rPr>
          <w:rFonts w:ascii="Adobe Arabic" w:eastAsia="Times New Roman" w:hAnsi="Adobe Arabic" w:cs="Adobe Arabic"/>
          <w:b/>
          <w:bCs/>
          <w:color w:val="323E4F" w:themeColor="text2" w:themeShade="BF"/>
          <w:sz w:val="36"/>
          <w:szCs w:val="36"/>
          <w:rtl/>
        </w:rPr>
      </w:pPr>
      <w:bookmarkStart w:id="36" w:name="_Toc143687975"/>
      <w:r>
        <w:rPr>
          <w:rFonts w:ascii="Adobe Arabic" w:eastAsia="Times New Roman" w:hAnsi="Adobe Arabic" w:cs="Adobe Arabic"/>
          <w:b/>
          <w:bCs/>
          <w:color w:val="323E4F" w:themeColor="text2" w:themeShade="BF"/>
          <w:sz w:val="36"/>
          <w:szCs w:val="36"/>
          <w:rtl/>
        </w:rPr>
        <w:br w:type="page"/>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r w:rsidRPr="00CB45DB">
        <w:rPr>
          <w:rFonts w:ascii="Adobe Arabic" w:eastAsia="Times New Roman" w:hAnsi="Adobe Arabic" w:cs="Adobe Arabic"/>
          <w:b/>
          <w:bCs/>
          <w:color w:val="323E4F" w:themeColor="text2" w:themeShade="BF"/>
          <w:sz w:val="36"/>
          <w:szCs w:val="36"/>
          <w:rtl/>
        </w:rPr>
        <w:lastRenderedPageBreak/>
        <w:t>استخدام العامل النفسيّ في المرافعة</w:t>
      </w:r>
      <w:bookmarkEnd w:id="36"/>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1. في بعض الأحيان، ولكي يستطيع المحامي الوصول إلى الحقيقة، ربّما يُهدِّد بطريقة وأخرى بعض الأشخاص للبوح بما عندهم، فما حكم ذلك؟</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يختلف حكمه باختلاف الموارد والأغراض والوسائل، فإن كان بطريقة محرّمة شرعاً، فلا يجوز.</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2. يستخدم المحامي، في بعض المرافعات، الأسلوب النفسيّ ضدّ الطرف الآخر حتّى يغلّط عليه بعض الأمور، فهل يُعتبر هذا من الخداع؟ وما حكم المرافعة التي تكون بهذا الشكل؟</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1482A">
        <w:rPr>
          <w:rFonts w:ascii="Adobe Arabic" w:eastAsia="Times New Roman" w:hAnsi="Adobe Arabic" w:cs="Adobe Arabic"/>
          <w:b/>
          <w:bCs/>
          <w:color w:val="000000"/>
          <w:sz w:val="32"/>
          <w:szCs w:val="32"/>
          <w:rtl/>
        </w:rPr>
        <w:t>الجواب:</w:t>
      </w:r>
      <w:r w:rsidR="000A1A4A" w:rsidRPr="007E5C0E">
        <w:rPr>
          <w:rFonts w:ascii="Adobe Arabic" w:eastAsia="Times New Roman" w:hAnsi="Adobe Arabic" w:cs="Adobe Arabic"/>
          <w:color w:val="000000"/>
          <w:sz w:val="32"/>
          <w:szCs w:val="32"/>
          <w:rtl/>
        </w:rPr>
        <w:t> لا مانع منها إذا لم تكن بطريقة محرّمة شرعاً، كالكذب ونحوه.</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37" w:name="_Toc143687976"/>
      <w:r w:rsidRPr="00CB45DB">
        <w:rPr>
          <w:rFonts w:ascii="Adobe Arabic" w:eastAsia="Times New Roman" w:hAnsi="Adobe Arabic" w:cs="Adobe Arabic"/>
          <w:b/>
          <w:bCs/>
          <w:color w:val="323E4F" w:themeColor="text2" w:themeShade="BF"/>
          <w:sz w:val="36"/>
          <w:szCs w:val="36"/>
          <w:rtl/>
        </w:rPr>
        <w:t>في إخفاء الحقيقة</w:t>
      </w:r>
      <w:bookmarkEnd w:id="37"/>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1. هل يجوز للمحامي إخفاء حقيقة، ما للحصول على حقوقه الماليّة؟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إذا لم يكن مستحقّاً لها، فلا يجوز الحصول عليها عن طريق الكذب وغيره.</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2. إن كان إظهار الحقيقة سيؤدّي إلى إفساد أكثر، فهل يجوز حينها كتمانها؟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على كلّ حال إظهار ما ليس بحقّ حقّاً، والدفاع عنه كذلك.</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3. هل يجوز للمحامي منع إظهار الحقيقة؟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له منع الآخرين من إظهار الحقيقة.</w:t>
      </w:r>
    </w:p>
    <w:p w:rsidR="004D7FC6" w:rsidRDefault="004D7FC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lastRenderedPageBreak/>
        <w:t>4. هل يجب على الوكيل إذا علم أنّ أحداً يعلم حقيقةً ما تُفيد في القضيّة أن يظهر ذلك؟</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إذا توقّف إظهار الحقّ على ذلك أو إثبات براءة المتّهم عليه، فيجب ذلك حينئذٍ.</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5. هل يُعَدُّ السكوت عن حقٍّ ما للموكّل أو المدّعى عليه إخفاءً للحقيقة؟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يختلف حكمه باختلاف الموارد.</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6. هل يجوز للمحامي مخالفة القانون إن لم تكن المخالفة محرّمة شرعًا؟</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يختلف حكمه باختلاف الموارد.</w:t>
      </w:r>
    </w:p>
    <w:p w:rsidR="000A1A4A" w:rsidRPr="00CB45DB" w:rsidRDefault="000A1A4A" w:rsidP="00CB45DB">
      <w:pPr>
        <w:pStyle w:val="Heading2"/>
        <w:bidi/>
        <w:jc w:val="both"/>
        <w:rPr>
          <w:rFonts w:ascii="Adobe Arabic" w:eastAsia="Times New Roman" w:hAnsi="Adobe Arabic" w:cs="Adobe Arabic"/>
          <w:b/>
          <w:bCs/>
          <w:color w:val="323E4F" w:themeColor="text2" w:themeShade="BF"/>
          <w:sz w:val="36"/>
          <w:szCs w:val="36"/>
          <w:rtl/>
        </w:rPr>
      </w:pPr>
      <w:bookmarkStart w:id="38" w:name="_Toc143687977"/>
      <w:r w:rsidRPr="00CB45DB">
        <w:rPr>
          <w:rFonts w:ascii="Adobe Arabic" w:eastAsia="Times New Roman" w:hAnsi="Adobe Arabic" w:cs="Adobe Arabic"/>
          <w:b/>
          <w:bCs/>
          <w:color w:val="323E4F" w:themeColor="text2" w:themeShade="BF"/>
          <w:sz w:val="36"/>
          <w:szCs w:val="36"/>
          <w:rtl/>
        </w:rPr>
        <w:t>مسائل مختلفة</w:t>
      </w:r>
      <w:bookmarkEnd w:id="38"/>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1. في بعض الأحيان، يذكر المدّعي أمام المحامي مساوئ المدّعى عليه، ويُفشي بعض الأسرار عنه، فما حكم الاستماع إلى ذلك؟</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له ذلك، وإذا كان غيبةً، فلا يجوز للآخرين الاستماع إليه.</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2. في بعض الأحيان، يتبنّى المحامي أكثر من قضيّة؛ ما يؤدّي إلى المماطلة في بعض القضايا وعدم إنجازها بسرعة، فما الحكم في ذلك؟</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يجب على الوكيل العمل طبقاً لوكالته في هذه الموارد.</w:t>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t>3. ما المقصود بالوصيّة العهديّة والوصيّة التمليكيّة؟</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الوصيّة التمليكيّة هي أن يوصي شخصٌ لآخر بمال، والوصيّة العهديّة هي أن يوصي شخصٌ بفعل شيء بعد موته.</w:t>
      </w:r>
    </w:p>
    <w:p w:rsidR="004D7FC6" w:rsidRDefault="004D7FC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0A1A4A" w:rsidRPr="00C1482A" w:rsidRDefault="000A1A4A" w:rsidP="007E5C0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C1482A">
        <w:rPr>
          <w:rFonts w:ascii="Adobe Arabic" w:eastAsia="Times New Roman" w:hAnsi="Adobe Arabic" w:cs="Adobe Arabic"/>
          <w:b/>
          <w:bCs/>
          <w:color w:val="000000"/>
          <w:sz w:val="32"/>
          <w:szCs w:val="32"/>
          <w:rtl/>
        </w:rPr>
        <w:lastRenderedPageBreak/>
        <w:t>4. إذا كانت عقوبة الجاني شرعًا أشدّ من العقوبة المقرّرة في القانون الوضعيّ، فهل يجوز للمحامي العمل حسب القانون الوضعيّ في هذه الحال؟</w:t>
      </w:r>
    </w:p>
    <w:p w:rsidR="000A1A4A" w:rsidRPr="007E5C0E" w:rsidRDefault="00C1482A" w:rsidP="007E5C0E">
      <w:pPr>
        <w:bidi/>
        <w:spacing w:before="100" w:beforeAutospacing="1" w:after="100" w:afterAutospacing="1" w:line="240" w:lineRule="auto"/>
        <w:jc w:val="both"/>
        <w:rPr>
          <w:rFonts w:ascii="Adobe Arabic" w:eastAsia="Times New Roman" w:hAnsi="Adobe Arabic" w:cs="Adobe Arabic"/>
          <w:color w:val="000000"/>
          <w:sz w:val="32"/>
          <w:szCs w:val="32"/>
          <w:rtl/>
          <w:lang w:bidi="fa-IR"/>
        </w:rPr>
      </w:pPr>
      <w:r w:rsidRPr="00C1482A">
        <w:rPr>
          <w:rFonts w:ascii="Adobe Arabic" w:eastAsia="Times New Roman" w:hAnsi="Adobe Arabic" w:cs="Adobe Arabic"/>
          <w:b/>
          <w:bCs/>
          <w:color w:val="000000"/>
          <w:sz w:val="32"/>
          <w:szCs w:val="32"/>
          <w:rtl/>
          <w:lang w:bidi="fa-IR"/>
        </w:rPr>
        <w:t>الجواب:</w:t>
      </w:r>
      <w:r w:rsidR="000A1A4A" w:rsidRPr="007E5C0E">
        <w:rPr>
          <w:rFonts w:ascii="Adobe Arabic" w:eastAsia="Times New Roman" w:hAnsi="Adobe Arabic" w:cs="Adobe Arabic"/>
          <w:color w:val="000000"/>
          <w:sz w:val="32"/>
          <w:szCs w:val="32"/>
          <w:rtl/>
          <w:lang w:bidi="fa-IR"/>
        </w:rPr>
        <w:t> لا يجوز مخالفة الشرع ولا المرافعة عمّا يخالفه.</w:t>
      </w:r>
    </w:p>
    <w:sectPr w:rsidR="000A1A4A" w:rsidRPr="007E5C0E" w:rsidSect="003B070C">
      <w:headerReference w:type="default" r:id="rId23"/>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96" w:rsidRDefault="005C2696" w:rsidP="003B070C">
      <w:pPr>
        <w:spacing w:after="0" w:line="240" w:lineRule="auto"/>
      </w:pPr>
      <w:r>
        <w:separator/>
      </w:r>
    </w:p>
  </w:endnote>
  <w:endnote w:type="continuationSeparator" w:id="0">
    <w:p w:rsidR="005C2696" w:rsidRDefault="005C2696" w:rsidP="003B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96" w:rsidRDefault="005C2696" w:rsidP="00BF287A">
      <w:pPr>
        <w:bidi/>
        <w:spacing w:after="0" w:line="240" w:lineRule="auto"/>
      </w:pPr>
      <w:r>
        <w:separator/>
      </w:r>
    </w:p>
  </w:footnote>
  <w:footnote w:type="continuationSeparator" w:id="0">
    <w:p w:rsidR="005C2696" w:rsidRDefault="005C2696" w:rsidP="003B070C">
      <w:pPr>
        <w:spacing w:after="0" w:line="240" w:lineRule="auto"/>
      </w:pPr>
      <w:r>
        <w:continuationSeparator/>
      </w:r>
    </w:p>
  </w:footnote>
  <w:footnote w:id="1">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النوريّ، ميرزا حسين، مستدرك الوسائل، ج11، ص317، تحقيق: مؤسّسة آل البيت لإحياء التراث، 1408هـ- 1988م، بيروت- لبنان، ح13146</w:t>
      </w:r>
      <w:r w:rsidRPr="00C11D09">
        <w:rPr>
          <w:rFonts w:ascii="Adobe Arabic" w:hAnsi="Adobe Arabic" w:cs="Adobe Arabic"/>
          <w:sz w:val="24"/>
          <w:szCs w:val="24"/>
        </w:rPr>
        <w:t>.</w:t>
      </w:r>
    </w:p>
  </w:footnote>
  <w:footnote w:id="2">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ج5، ص93. الحرّ العامليّ، الشيخ محمّد بن الحسن، تفصيل وسائل الشيعة إلى تحصيل مسائل الشريعة، تحقيق ونشر مؤسّسة آل البيت (عليهم السلام)، إيران - قم، 1414هـ، ط2، ج17، ص21</w:t>
      </w:r>
      <w:r w:rsidRPr="00C11D09">
        <w:rPr>
          <w:rFonts w:ascii="Adobe Arabic" w:hAnsi="Adobe Arabic" w:cs="Adobe Arabic"/>
          <w:sz w:val="24"/>
          <w:szCs w:val="24"/>
        </w:rPr>
        <w:t>.</w:t>
      </w:r>
    </w:p>
  </w:footnote>
  <w:footnote w:id="3">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الطوسيّ، الشيخ محمّد بن الحسن، تهذيب الأحكام في شرح المقنعة، تحقيق وتعليق السيد حسن الموسوي الخرسان، دار الكتب الإسلامية، إيران - طهران، 1364ش، ط3، ج6، ص324</w:t>
      </w:r>
      <w:r w:rsidRPr="00C11D09">
        <w:rPr>
          <w:rFonts w:ascii="Adobe Arabic" w:hAnsi="Adobe Arabic" w:cs="Adobe Arabic"/>
          <w:sz w:val="24"/>
          <w:szCs w:val="24"/>
        </w:rPr>
        <w:t>.</w:t>
      </w:r>
    </w:p>
  </w:footnote>
  <w:footnote w:id="4">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ج5، ص62</w:t>
      </w:r>
      <w:r w:rsidRPr="00C11D09">
        <w:rPr>
          <w:rFonts w:ascii="Adobe Arabic" w:hAnsi="Adobe Arabic" w:cs="Adobe Arabic"/>
          <w:sz w:val="24"/>
          <w:szCs w:val="24"/>
        </w:rPr>
        <w:t>.</w:t>
      </w:r>
    </w:p>
  </w:footnote>
  <w:footnote w:id="5">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ص72</w:t>
      </w:r>
      <w:r w:rsidRPr="00C11D09">
        <w:rPr>
          <w:rFonts w:ascii="Adobe Arabic" w:hAnsi="Adobe Arabic" w:cs="Adobe Arabic"/>
          <w:sz w:val="24"/>
          <w:szCs w:val="24"/>
        </w:rPr>
        <w:t>.</w:t>
      </w:r>
    </w:p>
  </w:footnote>
  <w:footnote w:id="6">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ص70</w:t>
      </w:r>
      <w:r w:rsidRPr="00C11D09">
        <w:rPr>
          <w:rFonts w:ascii="Adobe Arabic" w:hAnsi="Adobe Arabic" w:cs="Adobe Arabic"/>
          <w:sz w:val="24"/>
          <w:szCs w:val="24"/>
        </w:rPr>
        <w:t>.</w:t>
      </w:r>
    </w:p>
  </w:footnote>
  <w:footnote w:id="7">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ص71</w:t>
      </w:r>
      <w:r w:rsidRPr="00C11D09">
        <w:rPr>
          <w:rFonts w:ascii="Adobe Arabic" w:hAnsi="Adobe Arabic" w:cs="Adobe Arabic"/>
          <w:sz w:val="24"/>
          <w:szCs w:val="24"/>
        </w:rPr>
        <w:t>.</w:t>
      </w:r>
    </w:p>
  </w:footnote>
  <w:footnote w:id="8">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ج5، ص76-75</w:t>
      </w:r>
      <w:r w:rsidRPr="00C11D09">
        <w:rPr>
          <w:rFonts w:ascii="Adobe Arabic" w:hAnsi="Adobe Arabic" w:cs="Adobe Arabic"/>
          <w:sz w:val="24"/>
          <w:szCs w:val="24"/>
        </w:rPr>
        <w:t>.</w:t>
      </w:r>
    </w:p>
  </w:footnote>
  <w:footnote w:id="9">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ص80</w:t>
      </w:r>
      <w:r w:rsidRPr="00C11D09">
        <w:rPr>
          <w:rFonts w:ascii="Adobe Arabic" w:hAnsi="Adobe Arabic" w:cs="Adobe Arabic"/>
          <w:sz w:val="24"/>
          <w:szCs w:val="24"/>
        </w:rPr>
        <w:t>.</w:t>
      </w:r>
    </w:p>
  </w:footnote>
  <w:footnote w:id="10">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ج5، ص81</w:t>
      </w:r>
      <w:r w:rsidRPr="00C11D09">
        <w:rPr>
          <w:rFonts w:ascii="Adobe Arabic" w:hAnsi="Adobe Arabic" w:cs="Adobe Arabic"/>
          <w:sz w:val="24"/>
          <w:szCs w:val="24"/>
        </w:rPr>
        <w:t>.</w:t>
      </w:r>
    </w:p>
  </w:footnote>
  <w:footnote w:id="11">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الطوسيّ، تهذيب الأحكام، مصدر سابق، ج6، ص328</w:t>
      </w:r>
      <w:r w:rsidRPr="00C11D09">
        <w:rPr>
          <w:rFonts w:ascii="Adobe Arabic" w:hAnsi="Adobe Arabic" w:cs="Adobe Arabic"/>
          <w:sz w:val="24"/>
          <w:szCs w:val="24"/>
        </w:rPr>
        <w:t>.</w:t>
      </w:r>
    </w:p>
  </w:footnote>
  <w:footnote w:id="12">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ج4، ص53</w:t>
      </w:r>
      <w:r w:rsidRPr="00C11D09">
        <w:rPr>
          <w:rFonts w:ascii="Adobe Arabic" w:hAnsi="Adobe Arabic" w:cs="Adobe Arabic"/>
          <w:sz w:val="24"/>
          <w:szCs w:val="24"/>
        </w:rPr>
        <w:t>.</w:t>
      </w:r>
    </w:p>
  </w:footnote>
  <w:footnote w:id="13">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ص53</w:t>
      </w:r>
      <w:r w:rsidRPr="00C11D09">
        <w:rPr>
          <w:rFonts w:ascii="Adobe Arabic" w:hAnsi="Adobe Arabic" w:cs="Adobe Arabic"/>
          <w:sz w:val="24"/>
          <w:szCs w:val="24"/>
        </w:rPr>
        <w:t>.</w:t>
      </w:r>
    </w:p>
  </w:footnote>
  <w:footnote w:id="14">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ج5، ص88</w:t>
      </w:r>
      <w:r w:rsidRPr="00C11D09">
        <w:rPr>
          <w:rFonts w:ascii="Adobe Arabic" w:hAnsi="Adobe Arabic" w:cs="Adobe Arabic"/>
          <w:sz w:val="24"/>
          <w:szCs w:val="24"/>
        </w:rPr>
        <w:t>.</w:t>
      </w:r>
    </w:p>
  </w:footnote>
  <w:footnote w:id="15">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w:t>
      </w:r>
      <w:r w:rsidRPr="00C11D09">
        <w:rPr>
          <w:rFonts w:ascii="Adobe Arabic" w:hAnsi="Adobe Arabic" w:cs="Adobe Arabic"/>
          <w:sz w:val="24"/>
          <w:szCs w:val="24"/>
        </w:rPr>
        <w:t>.</w:t>
      </w:r>
    </w:p>
  </w:footnote>
  <w:footnote w:id="16">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w:t>
      </w:r>
      <w:r w:rsidRPr="00C11D09">
        <w:rPr>
          <w:rFonts w:ascii="Adobe Arabic" w:hAnsi="Adobe Arabic" w:cs="Adobe Arabic"/>
          <w:sz w:val="24"/>
          <w:szCs w:val="24"/>
        </w:rPr>
        <w:t>.</w:t>
      </w:r>
    </w:p>
  </w:footnote>
  <w:footnote w:id="17">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ج5، ص158</w:t>
      </w:r>
      <w:r w:rsidRPr="00C11D09">
        <w:rPr>
          <w:rFonts w:ascii="Adobe Arabic" w:hAnsi="Adobe Arabic" w:cs="Adobe Arabic"/>
          <w:sz w:val="24"/>
          <w:szCs w:val="24"/>
        </w:rPr>
        <w:t>.</w:t>
      </w:r>
    </w:p>
  </w:footnote>
  <w:footnote w:id="18">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ج3، ص157</w:t>
      </w:r>
      <w:r w:rsidRPr="00C11D09">
        <w:rPr>
          <w:rFonts w:ascii="Adobe Arabic" w:hAnsi="Adobe Arabic" w:cs="Adobe Arabic"/>
          <w:sz w:val="24"/>
          <w:szCs w:val="24"/>
        </w:rPr>
        <w:t>.</w:t>
      </w:r>
    </w:p>
  </w:footnote>
  <w:footnote w:id="19">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ج3، ص157</w:t>
      </w:r>
      <w:r w:rsidRPr="00C11D09">
        <w:rPr>
          <w:rFonts w:ascii="Adobe Arabic" w:hAnsi="Adobe Arabic" w:cs="Adobe Arabic"/>
          <w:sz w:val="24"/>
          <w:szCs w:val="24"/>
        </w:rPr>
        <w:t>.</w:t>
      </w:r>
    </w:p>
  </w:footnote>
  <w:footnote w:id="20">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ج5، ص124</w:t>
      </w:r>
      <w:r w:rsidRPr="00C11D09">
        <w:rPr>
          <w:rFonts w:ascii="Adobe Arabic" w:hAnsi="Adobe Arabic" w:cs="Adobe Arabic"/>
          <w:sz w:val="24"/>
          <w:szCs w:val="24"/>
        </w:rPr>
        <w:t>.</w:t>
      </w:r>
    </w:p>
  </w:footnote>
  <w:footnote w:id="21">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ص125</w:t>
      </w:r>
      <w:r w:rsidRPr="00C11D09">
        <w:rPr>
          <w:rFonts w:ascii="Adobe Arabic" w:hAnsi="Adobe Arabic" w:cs="Adobe Arabic"/>
          <w:sz w:val="24"/>
          <w:szCs w:val="24"/>
        </w:rPr>
        <w:t>.</w:t>
      </w:r>
    </w:p>
  </w:footnote>
  <w:footnote w:id="22">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ج8، ص16</w:t>
      </w:r>
      <w:r w:rsidRPr="00C11D09">
        <w:rPr>
          <w:rFonts w:ascii="Adobe Arabic" w:hAnsi="Adobe Arabic" w:cs="Adobe Arabic"/>
          <w:sz w:val="24"/>
          <w:szCs w:val="24"/>
        </w:rPr>
        <w:t>.</w:t>
      </w:r>
    </w:p>
  </w:footnote>
  <w:footnote w:id="23">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ج2، ص333</w:t>
      </w:r>
      <w:r w:rsidRPr="00C11D09">
        <w:rPr>
          <w:rFonts w:ascii="Adobe Arabic" w:hAnsi="Adobe Arabic" w:cs="Adobe Arabic"/>
          <w:sz w:val="24"/>
          <w:szCs w:val="24"/>
        </w:rPr>
        <w:t>.</w:t>
      </w:r>
    </w:p>
  </w:footnote>
  <w:footnote w:id="24">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الصدوق، الشيخ محمد بن علي بن بابويه، ثواب الأعمال، تقديم السيد محمد مهدي السيد حسن الخرسان، منشورات الشريف الرضي، إيران - قم، 1368 ش، ط2، ص286. البروجردي، السيّد حسين الطباطبائي، جامع أحاديث الشيعة، لا.ن، إيران - قم، 1399هـ، لا.ط، ج17، ص359</w:t>
      </w:r>
      <w:r w:rsidRPr="00C11D09">
        <w:rPr>
          <w:rFonts w:ascii="Adobe Arabic" w:hAnsi="Adobe Arabic" w:cs="Adobe Arabic"/>
          <w:sz w:val="24"/>
          <w:szCs w:val="24"/>
        </w:rPr>
        <w:t>.</w:t>
      </w:r>
    </w:p>
  </w:footnote>
  <w:footnote w:id="25">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المفيد، الشيخ محمد بن محمد بن النعمان، الاختصاص، تحقيق علي أكبر الغفاري والسيد محمود الزرندي، دار المفيد للطباعة والنشر والتوزيع، لبنان - بيروت، 1414ه - 1993م، ط2، ص248. السيّد البروجردي، جامع أحاديث الشيعة، ج18، ص540</w:t>
      </w:r>
      <w:r w:rsidRPr="00C11D09">
        <w:rPr>
          <w:rFonts w:ascii="Adobe Arabic" w:hAnsi="Adobe Arabic" w:cs="Adobe Arabic"/>
          <w:sz w:val="24"/>
          <w:szCs w:val="24"/>
        </w:rPr>
        <w:t>.</w:t>
      </w:r>
    </w:p>
  </w:footnote>
  <w:footnote w:id="26">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1403هـ - 1983م، ط2، ج69، ص304</w:t>
      </w:r>
      <w:r w:rsidRPr="00C11D09">
        <w:rPr>
          <w:rFonts w:ascii="Adobe Arabic" w:hAnsi="Adobe Arabic" w:cs="Adobe Arabic"/>
          <w:sz w:val="24"/>
          <w:szCs w:val="24"/>
        </w:rPr>
        <w:t>.</w:t>
      </w:r>
    </w:p>
  </w:footnote>
  <w:footnote w:id="27">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الكراجكي، العلّامة أبو الفتح محمّد بن علي بن عثمان، معدن الجواهر، تحقيق السيّد أحمد الحسيني، لا.ن، لا.م، 1394، ط2، ص53</w:t>
      </w:r>
      <w:r w:rsidRPr="00C11D09">
        <w:rPr>
          <w:rFonts w:ascii="Adobe Arabic" w:hAnsi="Adobe Arabic" w:cs="Adobe Arabic"/>
          <w:sz w:val="24"/>
          <w:szCs w:val="24"/>
        </w:rPr>
        <w:t>.</w:t>
      </w:r>
    </w:p>
  </w:footnote>
  <w:footnote w:id="28">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ج2، ص364</w:t>
      </w:r>
      <w:r w:rsidRPr="00C11D09">
        <w:rPr>
          <w:rFonts w:ascii="Adobe Arabic" w:hAnsi="Adobe Arabic" w:cs="Adobe Arabic"/>
          <w:sz w:val="24"/>
          <w:szCs w:val="24"/>
        </w:rPr>
        <w:t>.</w:t>
      </w:r>
    </w:p>
  </w:footnote>
  <w:footnote w:id="29">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العلّامة المجلسيّ، بحار الأنوار، مصدر سابق، ج69، ص198</w:t>
      </w:r>
      <w:r w:rsidRPr="00C11D09">
        <w:rPr>
          <w:rFonts w:ascii="Adobe Arabic" w:hAnsi="Adobe Arabic" w:cs="Adobe Arabic"/>
          <w:sz w:val="24"/>
          <w:szCs w:val="24"/>
        </w:rPr>
        <w:t>.</w:t>
      </w:r>
    </w:p>
  </w:footnote>
  <w:footnote w:id="30">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ج8، ص168</w:t>
      </w:r>
      <w:r w:rsidRPr="00C11D09">
        <w:rPr>
          <w:rFonts w:ascii="Adobe Arabic" w:hAnsi="Adobe Arabic" w:cs="Adobe Arabic"/>
          <w:sz w:val="24"/>
          <w:szCs w:val="24"/>
        </w:rPr>
        <w:t>.</w:t>
      </w:r>
    </w:p>
  </w:footnote>
  <w:footnote w:id="31">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ج2، ص99</w:t>
      </w:r>
      <w:r w:rsidRPr="00C11D09">
        <w:rPr>
          <w:rFonts w:ascii="Adobe Arabic" w:hAnsi="Adobe Arabic" w:cs="Adobe Arabic"/>
          <w:sz w:val="24"/>
          <w:szCs w:val="24"/>
        </w:rPr>
        <w:t>.</w:t>
      </w:r>
    </w:p>
  </w:footnote>
  <w:footnote w:id="32">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العلّامة المجلسيّ، بحار الأنوار، مصدر سابق، ج77، ص147</w:t>
      </w:r>
      <w:r w:rsidRPr="00C11D09">
        <w:rPr>
          <w:rFonts w:ascii="Adobe Arabic" w:hAnsi="Adobe Arabic" w:cs="Adobe Arabic"/>
          <w:sz w:val="24"/>
          <w:szCs w:val="24"/>
        </w:rPr>
        <w:t>.</w:t>
      </w:r>
    </w:p>
  </w:footnote>
  <w:footnote w:id="33">
    <w:p w:rsidR="00BF1D51" w:rsidRPr="00C11D09" w:rsidRDefault="00BF1D51"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الشيخ الكلينيّ، الكافي، مصدر سابق، ج2، ص164</w:t>
      </w:r>
      <w:r w:rsidRPr="00C11D09">
        <w:rPr>
          <w:rFonts w:ascii="Adobe Arabic" w:hAnsi="Adobe Arabic" w:cs="Adobe Arabic"/>
          <w:sz w:val="24"/>
          <w:szCs w:val="24"/>
        </w:rPr>
        <w:t>.</w:t>
      </w:r>
    </w:p>
  </w:footnote>
  <w:footnote w:id="34">
    <w:p w:rsidR="00D56414" w:rsidRPr="00C11D09" w:rsidRDefault="00D56414"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ص164</w:t>
      </w:r>
      <w:r w:rsidRPr="00C11D09">
        <w:rPr>
          <w:rFonts w:ascii="Adobe Arabic" w:hAnsi="Adobe Arabic" w:cs="Adobe Arabic"/>
          <w:sz w:val="24"/>
          <w:szCs w:val="24"/>
        </w:rPr>
        <w:t>.</w:t>
      </w:r>
    </w:p>
  </w:footnote>
  <w:footnote w:id="35">
    <w:p w:rsidR="00D56414" w:rsidRPr="00C11D09" w:rsidRDefault="00D56414"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ص196</w:t>
      </w:r>
      <w:r w:rsidRPr="00C11D09">
        <w:rPr>
          <w:rFonts w:ascii="Adobe Arabic" w:hAnsi="Adobe Arabic" w:cs="Adobe Arabic"/>
          <w:sz w:val="24"/>
          <w:szCs w:val="24"/>
        </w:rPr>
        <w:t>.</w:t>
      </w:r>
    </w:p>
  </w:footnote>
  <w:footnote w:id="36">
    <w:p w:rsidR="00D56414" w:rsidRPr="00C11D09" w:rsidRDefault="00D56414"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الحرّ العامليّ، وسائل الشيعة، مصدر سابق، ج18، ص230</w:t>
      </w:r>
      <w:r w:rsidRPr="00C11D09">
        <w:rPr>
          <w:rFonts w:ascii="Adobe Arabic" w:hAnsi="Adobe Arabic" w:cs="Adobe Arabic"/>
          <w:sz w:val="24"/>
          <w:szCs w:val="24"/>
        </w:rPr>
        <w:t>.</w:t>
      </w:r>
    </w:p>
  </w:footnote>
  <w:footnote w:id="37">
    <w:p w:rsidR="00D56414" w:rsidRPr="00C11D09" w:rsidRDefault="00D56414"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ص230</w:t>
      </w:r>
      <w:r w:rsidRPr="00C11D09">
        <w:rPr>
          <w:rFonts w:ascii="Adobe Arabic" w:hAnsi="Adobe Arabic" w:cs="Adobe Arabic"/>
          <w:sz w:val="24"/>
          <w:szCs w:val="24"/>
        </w:rPr>
        <w:t>.</w:t>
      </w:r>
    </w:p>
  </w:footnote>
  <w:footnote w:id="38">
    <w:p w:rsidR="00D56414" w:rsidRPr="00C11D09" w:rsidRDefault="00D56414"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ص332</w:t>
      </w:r>
      <w:r w:rsidRPr="00C11D09">
        <w:rPr>
          <w:rFonts w:ascii="Adobe Arabic" w:hAnsi="Adobe Arabic" w:cs="Adobe Arabic"/>
          <w:sz w:val="24"/>
          <w:szCs w:val="24"/>
        </w:rPr>
        <w:t>.</w:t>
      </w:r>
    </w:p>
  </w:footnote>
  <w:footnote w:id="39">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سورة النحل، الآية 90</w:t>
      </w:r>
      <w:r w:rsidRPr="00C11D09">
        <w:rPr>
          <w:rFonts w:ascii="Adobe Arabic" w:hAnsi="Adobe Arabic" w:cs="Adobe Arabic"/>
          <w:sz w:val="24"/>
          <w:szCs w:val="24"/>
        </w:rPr>
        <w:t>.</w:t>
      </w:r>
    </w:p>
  </w:footnote>
  <w:footnote w:id="40">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سورة الشورى، الآية 15</w:t>
      </w:r>
      <w:r w:rsidRPr="00C11D09">
        <w:rPr>
          <w:rFonts w:ascii="Adobe Arabic" w:hAnsi="Adobe Arabic" w:cs="Adobe Arabic"/>
          <w:sz w:val="24"/>
          <w:szCs w:val="24"/>
        </w:rPr>
        <w:t>.</w:t>
      </w:r>
    </w:p>
  </w:footnote>
  <w:footnote w:id="41">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سورة الكهف، الآية 59</w:t>
      </w:r>
      <w:r w:rsidRPr="00C11D09">
        <w:rPr>
          <w:rFonts w:ascii="Adobe Arabic" w:hAnsi="Adobe Arabic" w:cs="Adobe Arabic"/>
          <w:sz w:val="24"/>
          <w:szCs w:val="24"/>
        </w:rPr>
        <w:t>.</w:t>
      </w:r>
    </w:p>
  </w:footnote>
  <w:footnote w:id="42">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الميرزا النوري، مستدرك الوسائل، مصدر سابق، ج11، ص317</w:t>
      </w:r>
      <w:r w:rsidRPr="00C11D09">
        <w:rPr>
          <w:rFonts w:ascii="Adobe Arabic" w:hAnsi="Adobe Arabic" w:cs="Adobe Arabic"/>
          <w:sz w:val="24"/>
          <w:szCs w:val="24"/>
        </w:rPr>
        <w:t>.</w:t>
      </w:r>
    </w:p>
  </w:footnote>
  <w:footnote w:id="43">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العلّامة المجلسي، بحار الأنوار، مصدر سابق، ج72، ص330، باب79، ح62</w:t>
      </w:r>
      <w:r w:rsidRPr="00C11D09">
        <w:rPr>
          <w:rFonts w:ascii="Adobe Arabic" w:hAnsi="Adobe Arabic" w:cs="Adobe Arabic"/>
          <w:sz w:val="24"/>
          <w:szCs w:val="24"/>
        </w:rPr>
        <w:t>.</w:t>
      </w:r>
    </w:p>
  </w:footnote>
  <w:footnote w:id="44">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العلّامة المجلسيّ، مرآة العقول، دار الكتب الإسلاميّة، 1404هـ، طهران- إيران، ج7، ص313</w:t>
      </w:r>
      <w:r w:rsidRPr="00C11D09">
        <w:rPr>
          <w:rFonts w:ascii="Adobe Arabic" w:hAnsi="Adobe Arabic" w:cs="Adobe Arabic"/>
          <w:sz w:val="24"/>
          <w:szCs w:val="24"/>
        </w:rPr>
        <w:t>.</w:t>
      </w:r>
    </w:p>
  </w:footnote>
  <w:footnote w:id="45">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ابن منظور، لسان العرب، نشر أدب الحوزة، ج11، ص736</w:t>
      </w:r>
      <w:r w:rsidRPr="00C11D09">
        <w:rPr>
          <w:rFonts w:ascii="Adobe Arabic" w:hAnsi="Adobe Arabic" w:cs="Adobe Arabic"/>
          <w:sz w:val="24"/>
          <w:szCs w:val="24"/>
        </w:rPr>
        <w:t>.</w:t>
      </w:r>
    </w:p>
  </w:footnote>
  <w:footnote w:id="46">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ابن منظور، لسان العرب، مصدر سابق، ج11، ص736</w:t>
      </w:r>
      <w:r w:rsidRPr="00C11D09">
        <w:rPr>
          <w:rFonts w:ascii="Adobe Arabic" w:hAnsi="Adobe Arabic" w:cs="Adobe Arabic"/>
          <w:sz w:val="24"/>
          <w:szCs w:val="24"/>
        </w:rPr>
        <w:t>.</w:t>
      </w:r>
    </w:p>
  </w:footnote>
  <w:footnote w:id="47">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w:t>
      </w:r>
      <w:r w:rsidRPr="00C11D09">
        <w:rPr>
          <w:rFonts w:ascii="Adobe Arabic" w:hAnsi="Adobe Arabic" w:cs="Adobe Arabic"/>
          <w:sz w:val="24"/>
          <w:szCs w:val="24"/>
        </w:rPr>
        <w:t>.</w:t>
      </w:r>
    </w:p>
  </w:footnote>
  <w:footnote w:id="48">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الإمام الخمينيّ، تحرير الوسيلة، مؤسّسة تنظيم ونشر آثار الإمام الخمينيّ، ط2، 1426هـ، قم- إيران، ج2، ص541</w:t>
      </w:r>
      <w:r w:rsidRPr="00C11D09">
        <w:rPr>
          <w:rFonts w:ascii="Adobe Arabic" w:hAnsi="Adobe Arabic" w:cs="Adobe Arabic"/>
          <w:sz w:val="24"/>
          <w:szCs w:val="24"/>
        </w:rPr>
        <w:t>.</w:t>
      </w:r>
    </w:p>
  </w:footnote>
  <w:footnote w:id="49">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المشكينيّ، مصطلحات الفقه واصطلاحات الأصول، منشورات الرضا، ط1، 1431هـ- 2010م، بيروت- لبنان، ص571</w:t>
      </w:r>
      <w:r w:rsidRPr="00C11D09">
        <w:rPr>
          <w:rFonts w:ascii="Adobe Arabic" w:hAnsi="Adobe Arabic" w:cs="Adobe Arabic"/>
          <w:sz w:val="24"/>
          <w:szCs w:val="24"/>
        </w:rPr>
        <w:t>.</w:t>
      </w:r>
    </w:p>
  </w:footnote>
  <w:footnote w:id="50">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الإمام الخمينيّ، تهذيب تحرير الوسيلة، معهد الرسول الأكرم العالي للشريعة والدراسات الإسلاميّة، ط1، 1430هـ- 2009م، بيروت- لبنان، ج2، ص242</w:t>
      </w:r>
      <w:r w:rsidRPr="00C11D09">
        <w:rPr>
          <w:rFonts w:ascii="Adobe Arabic" w:hAnsi="Adobe Arabic" w:cs="Adobe Arabic"/>
          <w:sz w:val="24"/>
          <w:szCs w:val="24"/>
        </w:rPr>
        <w:t>.</w:t>
      </w:r>
    </w:p>
  </w:footnote>
  <w:footnote w:id="51">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w:t>
      </w:r>
      <w:r w:rsidRPr="00C11D09">
        <w:rPr>
          <w:rFonts w:ascii="Adobe Arabic" w:hAnsi="Adobe Arabic" w:cs="Adobe Arabic"/>
          <w:sz w:val="24"/>
          <w:szCs w:val="24"/>
        </w:rPr>
        <w:t>.</w:t>
      </w:r>
    </w:p>
  </w:footnote>
  <w:footnote w:id="52">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الإمام الخمينيّ، تهذيب تحرير الوسيلة، مصدر سابق، ج2، ص242</w:t>
      </w:r>
      <w:r w:rsidRPr="00C11D09">
        <w:rPr>
          <w:rFonts w:ascii="Adobe Arabic" w:hAnsi="Adobe Arabic" w:cs="Adobe Arabic"/>
          <w:sz w:val="24"/>
          <w:szCs w:val="24"/>
        </w:rPr>
        <w:t>.</w:t>
      </w:r>
    </w:p>
  </w:footnote>
  <w:footnote w:id="53">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الإمام الخمينيّ، تهذيب تحرير الوسيلة، مصدر سابق، ج2، ص243</w:t>
      </w:r>
      <w:r w:rsidRPr="00C11D09">
        <w:rPr>
          <w:rFonts w:ascii="Adobe Arabic" w:hAnsi="Adobe Arabic" w:cs="Adobe Arabic"/>
          <w:sz w:val="24"/>
          <w:szCs w:val="24"/>
        </w:rPr>
        <w:t>.</w:t>
      </w:r>
    </w:p>
  </w:footnote>
  <w:footnote w:id="54">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الزبيديّ، تاج العروس، تحقيق، علي شيري، دار الفكر، 1414هـ- 1994م، بيروت- لبنان، ج16، ص215</w:t>
      </w:r>
      <w:r w:rsidRPr="00C11D09">
        <w:rPr>
          <w:rFonts w:ascii="Adobe Arabic" w:hAnsi="Adobe Arabic" w:cs="Adobe Arabic"/>
          <w:sz w:val="24"/>
          <w:szCs w:val="24"/>
        </w:rPr>
        <w:t>.</w:t>
      </w:r>
    </w:p>
  </w:footnote>
  <w:footnote w:id="55">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ابن فارس، معجم مقاييس اللغة، مكتبة الإعلام الإسلاميّ، 1404هـ، ج2، ص187</w:t>
      </w:r>
      <w:r w:rsidRPr="00C11D09">
        <w:rPr>
          <w:rFonts w:ascii="Adobe Arabic" w:hAnsi="Adobe Arabic" w:cs="Adobe Arabic"/>
          <w:sz w:val="24"/>
          <w:szCs w:val="24"/>
        </w:rPr>
        <w:t>.</w:t>
      </w:r>
    </w:p>
  </w:footnote>
  <w:footnote w:id="56">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الزبيديّ، تاج العروس، مصدر سابق ج8، ص279</w:t>
      </w:r>
      <w:r w:rsidRPr="00C11D09">
        <w:rPr>
          <w:rFonts w:ascii="Adobe Arabic" w:hAnsi="Adobe Arabic" w:cs="Adobe Arabic"/>
          <w:sz w:val="24"/>
          <w:szCs w:val="24"/>
        </w:rPr>
        <w:t>.</w:t>
      </w:r>
    </w:p>
  </w:footnote>
  <w:footnote w:id="57">
    <w:p w:rsidR="0098604B" w:rsidRPr="00C11D09" w:rsidRDefault="0098604B" w:rsidP="00C11D09">
      <w:pPr>
        <w:pStyle w:val="FootnoteText"/>
        <w:bidi/>
        <w:jc w:val="both"/>
        <w:rPr>
          <w:rFonts w:ascii="Adobe Arabic" w:hAnsi="Adobe Arabic" w:cs="Adobe Arabic"/>
          <w:sz w:val="24"/>
          <w:szCs w:val="24"/>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الطوسيّ، المبسوط، تحقيق، محمّد تقي الكشفيّ، المكتبة المرتضويّة لإحياء آثار الجعفريّة، ج2، ص363</w:t>
      </w:r>
      <w:r w:rsidRPr="00C11D09">
        <w:rPr>
          <w:rFonts w:ascii="Adobe Arabic" w:hAnsi="Adobe Arabic" w:cs="Adobe Arabic"/>
          <w:sz w:val="24"/>
          <w:szCs w:val="24"/>
        </w:rPr>
        <w:t>.</w:t>
      </w:r>
    </w:p>
    <w:p w:rsidR="0098604B" w:rsidRPr="00C11D09" w:rsidRDefault="0098604B" w:rsidP="00C11D09">
      <w:pPr>
        <w:pStyle w:val="FootnoteText"/>
        <w:bidi/>
        <w:jc w:val="both"/>
        <w:rPr>
          <w:rFonts w:ascii="Adobe Arabic" w:hAnsi="Adobe Arabic" w:cs="Adobe Arabic"/>
          <w:sz w:val="24"/>
          <w:szCs w:val="24"/>
          <w:rtl/>
          <w:lang w:bidi="ar-LB"/>
        </w:rPr>
      </w:pPr>
      <w:r w:rsidRPr="00C11D09">
        <w:rPr>
          <w:rFonts w:ascii="Adobe Arabic" w:hAnsi="Adobe Arabic" w:cs="Adobe Arabic"/>
          <w:sz w:val="24"/>
          <w:szCs w:val="24"/>
          <w:rtl/>
        </w:rPr>
        <w:t>والمراد من «إكمال المخاصمة» أنّه ليس كلّ واحدٍ من الناس يملك الأهليّة والكفاءة للمرافعة والادّعاء على الخصم والردّ على دفوعه؛ فالمرافعة علمٌ وفنّ يحتاج إلى دراسة وتعلّم، لمعرفة القوانين ومبادئ المحاكم وأصول الدعاوى، ثمّ اكتساب الخبرة أمام المحاكم ليصير قادراً على الترافع والدفاع، كما هو حال المحامي</w:t>
      </w:r>
      <w:r w:rsidRPr="00C11D09">
        <w:rPr>
          <w:rFonts w:ascii="Adobe Arabic" w:hAnsi="Adobe Arabic" w:cs="Adobe Arabic"/>
          <w:sz w:val="24"/>
          <w:szCs w:val="24"/>
        </w:rPr>
        <w:t>.</w:t>
      </w:r>
    </w:p>
  </w:footnote>
  <w:footnote w:id="58">
    <w:p w:rsidR="0098604B" w:rsidRPr="00C11D09" w:rsidRDefault="0098604B" w:rsidP="00C11D09">
      <w:pPr>
        <w:pStyle w:val="FootnoteText"/>
        <w:bidi/>
        <w:jc w:val="both"/>
        <w:rPr>
          <w:rFonts w:ascii="Adobe Arabic" w:hAnsi="Adobe Arabic" w:cs="Adobe Arabic"/>
          <w:sz w:val="24"/>
          <w:szCs w:val="24"/>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Pr>
        <w:t xml:space="preserve"> </w:t>
      </w:r>
      <w:r w:rsidRPr="00C11D09">
        <w:rPr>
          <w:rFonts w:ascii="Adobe Arabic" w:hAnsi="Adobe Arabic" w:cs="Adobe Arabic"/>
          <w:sz w:val="24"/>
          <w:szCs w:val="24"/>
          <w:rtl/>
        </w:rPr>
        <w:t>فإنّه يشمل تسليم المبيع حال قبض الثمن في البيع، وتسليم الثمن حال قبض المثمن في الشراء (وهو المتعارف)</w:t>
      </w:r>
      <w:r w:rsidRPr="00C11D09">
        <w:rPr>
          <w:rFonts w:ascii="Adobe Arabic" w:hAnsi="Adobe Arabic" w:cs="Adobe Arabic"/>
          <w:sz w:val="24"/>
          <w:szCs w:val="24"/>
        </w:rPr>
        <w:t>.</w:t>
      </w:r>
    </w:p>
    <w:p w:rsidR="0098604B" w:rsidRPr="00C11D09" w:rsidRDefault="0098604B" w:rsidP="00C11D09">
      <w:pPr>
        <w:pStyle w:val="FootnoteText"/>
        <w:bidi/>
        <w:jc w:val="both"/>
        <w:rPr>
          <w:rFonts w:ascii="Adobe Arabic" w:hAnsi="Adobe Arabic" w:cs="Adobe Arabic"/>
          <w:sz w:val="24"/>
          <w:szCs w:val="24"/>
          <w:rtl/>
          <w:lang w:bidi="ar-LB"/>
        </w:rPr>
      </w:pPr>
      <w:r w:rsidRPr="00C11D09">
        <w:rPr>
          <w:rFonts w:ascii="Adobe Arabic" w:hAnsi="Adobe Arabic" w:cs="Adobe Arabic"/>
          <w:sz w:val="24"/>
          <w:szCs w:val="24"/>
          <w:rtl/>
        </w:rPr>
        <w:t>وقد لا يشمل تسليم المبيع دون قبض الثمن مثلاًَ (إذا لم يكن متعارفاً). وكذلك، لا يشمل إعمال الخيار بعيب أو غبن أو غيرها، إلّا إذا شهدت قرائن الأحوال على أنّه قد وكّله فيه أيضاً</w:t>
      </w:r>
      <w:r w:rsidRPr="00C11D09">
        <w:rPr>
          <w:rFonts w:ascii="Adobe Arabic" w:hAnsi="Adobe Arabic" w:cs="Adobe Arabic"/>
          <w:sz w:val="24"/>
          <w:szCs w:val="24"/>
        </w:rPr>
        <w:t>.</w:t>
      </w:r>
    </w:p>
  </w:footnote>
  <w:footnote w:id="59">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الجنون قسمان: الجنون الإطباقيّ، وهو الجنون المستمرّ، والجنون الأدواريّ، وهو الذي ينقطع ثمّ يعود</w:t>
      </w:r>
      <w:r w:rsidRPr="00C11D09">
        <w:rPr>
          <w:rFonts w:ascii="Adobe Arabic" w:hAnsi="Adobe Arabic" w:cs="Adobe Arabic"/>
          <w:sz w:val="24"/>
          <w:szCs w:val="24"/>
        </w:rPr>
        <w:t>.</w:t>
      </w:r>
    </w:p>
  </w:footnote>
  <w:footnote w:id="60">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يُقال: بيّنة الجرح وبيّنة التعديل؛ فبيّنة الجرح هي الشهادة على شخص بأنّه قد وقعت منه معصية يوم كذا، كأن شرب الخمر مثلاً؛ أمّا بيّنة التعديل، فهي الشهادة على أحدهم بخلاف بيّنة الجرح، بأنّه لا يصدر منه كبير، مثلاً، أو أنّه كان يوم كذا في مكان غير المكان الذي شوهد فيه مرتكب المعصية</w:t>
      </w:r>
      <w:r w:rsidRPr="00C11D09">
        <w:rPr>
          <w:rFonts w:ascii="Adobe Arabic" w:hAnsi="Adobe Arabic" w:cs="Adobe Arabic"/>
          <w:sz w:val="24"/>
          <w:szCs w:val="24"/>
        </w:rPr>
        <w:t>.</w:t>
      </w:r>
    </w:p>
  </w:footnote>
  <w:footnote w:id="61">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سورة المائدة، الآية 2</w:t>
      </w:r>
      <w:r w:rsidRPr="00C11D09">
        <w:rPr>
          <w:rFonts w:ascii="Adobe Arabic" w:hAnsi="Adobe Arabic" w:cs="Adobe Arabic"/>
          <w:sz w:val="24"/>
          <w:szCs w:val="24"/>
        </w:rPr>
        <w:t>.</w:t>
      </w:r>
    </w:p>
  </w:footnote>
  <w:footnote w:id="62">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الحرّ العاملي، وسائل الشيعة، مصدر سابق، ج27، ص234، ح2و 3</w:t>
      </w:r>
      <w:r w:rsidRPr="00C11D09">
        <w:rPr>
          <w:rFonts w:ascii="Adobe Arabic" w:hAnsi="Adobe Arabic" w:cs="Adobe Arabic"/>
          <w:sz w:val="24"/>
          <w:szCs w:val="24"/>
        </w:rPr>
        <w:t>.</w:t>
      </w:r>
    </w:p>
  </w:footnote>
  <w:footnote w:id="63">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راجع: فتح الله، أحمد، معجم ألفاظ الفقه الجعفريّ، مطابع المدخول، ط1، 1415هـ- 1995م، الدمام، ص209</w:t>
      </w:r>
      <w:r w:rsidRPr="00C11D09">
        <w:rPr>
          <w:rFonts w:ascii="Adobe Arabic" w:hAnsi="Adobe Arabic" w:cs="Adobe Arabic"/>
          <w:sz w:val="24"/>
          <w:szCs w:val="24"/>
        </w:rPr>
        <w:t>.</w:t>
      </w:r>
    </w:p>
  </w:footnote>
  <w:footnote w:id="64">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الإمام الخمينيّ، تحرير الوسيلة، دار الكتب العلمية، مطبعة الآداب، النجف الأشرف- العراق، ج2، ص406</w:t>
      </w:r>
      <w:r w:rsidRPr="00C11D09">
        <w:rPr>
          <w:rFonts w:ascii="Adobe Arabic" w:hAnsi="Adobe Arabic" w:cs="Adobe Arabic"/>
          <w:sz w:val="24"/>
          <w:szCs w:val="24"/>
        </w:rPr>
        <w:t>.</w:t>
      </w:r>
    </w:p>
  </w:footnote>
  <w:footnote w:id="65">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فتح الله، معجم ألفاظ الفقه الجعفري، مصدر سابق، ص293</w:t>
      </w:r>
      <w:r w:rsidRPr="00C11D09">
        <w:rPr>
          <w:rFonts w:ascii="Adobe Arabic" w:hAnsi="Adobe Arabic" w:cs="Adobe Arabic"/>
          <w:sz w:val="24"/>
          <w:szCs w:val="24"/>
        </w:rPr>
        <w:t>.</w:t>
      </w:r>
    </w:p>
  </w:footnote>
  <w:footnote w:id="66">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w:t>
      </w:r>
      <w:r w:rsidRPr="00C11D09">
        <w:rPr>
          <w:rFonts w:ascii="Adobe Arabic" w:hAnsi="Adobe Arabic" w:cs="Adobe Arabic"/>
          <w:sz w:val="24"/>
          <w:szCs w:val="24"/>
        </w:rPr>
        <w:t>.</w:t>
      </w:r>
    </w:p>
  </w:footnote>
  <w:footnote w:id="67">
    <w:p w:rsidR="0098604B" w:rsidRPr="00C11D09" w:rsidRDefault="0098604B" w:rsidP="00C11D09">
      <w:pPr>
        <w:pStyle w:val="FootnoteText"/>
        <w:bidi/>
        <w:jc w:val="both"/>
        <w:rPr>
          <w:rFonts w:ascii="Adobe Arabic" w:hAnsi="Adobe Arabic" w:cs="Adobe Arabic"/>
          <w:sz w:val="24"/>
          <w:szCs w:val="24"/>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أي ذمّة الضامن إلى ذمّة المضمون عنه، فيجوز للدائن مطالبة أيّهما شاء</w:t>
      </w:r>
      <w:r w:rsidRPr="00C11D09">
        <w:rPr>
          <w:rFonts w:ascii="Adobe Arabic" w:hAnsi="Adobe Arabic" w:cs="Adobe Arabic"/>
          <w:sz w:val="24"/>
          <w:szCs w:val="24"/>
        </w:rPr>
        <w:t>.</w:t>
      </w:r>
    </w:p>
    <w:p w:rsidR="0098604B" w:rsidRPr="00C11D09" w:rsidRDefault="0098604B" w:rsidP="00C11D09">
      <w:pPr>
        <w:pStyle w:val="FootnoteText"/>
        <w:bidi/>
        <w:jc w:val="both"/>
        <w:rPr>
          <w:rFonts w:ascii="Adobe Arabic" w:hAnsi="Adobe Arabic" w:cs="Adobe Arabic"/>
          <w:sz w:val="24"/>
          <w:szCs w:val="24"/>
          <w:rtl/>
          <w:lang w:bidi="ar-LB"/>
        </w:rPr>
      </w:pPr>
      <w:r w:rsidRPr="00C11D09">
        <w:rPr>
          <w:rFonts w:ascii="Adobe Arabic" w:hAnsi="Adobe Arabic" w:cs="Adobe Arabic"/>
          <w:sz w:val="24"/>
          <w:szCs w:val="24"/>
          <w:rtl/>
        </w:rPr>
        <w:t>وقال أكثر الفقهاء: إنّ الضمان نقل المال من ذمّة المضمون عنه إلى ذمّة الضامن، فليس للمضمون له مطالبة المضمون عنه</w:t>
      </w:r>
      <w:r w:rsidRPr="00C11D09">
        <w:rPr>
          <w:rFonts w:ascii="Adobe Arabic" w:hAnsi="Adobe Arabic" w:cs="Adobe Arabic"/>
          <w:sz w:val="24"/>
          <w:szCs w:val="24"/>
        </w:rPr>
        <w:t>.</w:t>
      </w:r>
    </w:p>
  </w:footnote>
  <w:footnote w:id="68">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عبد المنعم، محمود، معجم المصطلحات والألفاظ الفقهيّة، دار الفضيلة، ج2، ص414</w:t>
      </w:r>
      <w:r w:rsidRPr="00C11D09">
        <w:rPr>
          <w:rFonts w:ascii="Adobe Arabic" w:hAnsi="Adobe Arabic" w:cs="Adobe Arabic"/>
          <w:sz w:val="24"/>
          <w:szCs w:val="24"/>
        </w:rPr>
        <w:t>.</w:t>
      </w:r>
    </w:p>
  </w:footnote>
  <w:footnote w:id="69">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فتح الله، معجم ألفاظ الفقه الجعفري، مصدر سابق، ص300</w:t>
      </w:r>
      <w:r w:rsidRPr="00C11D09">
        <w:rPr>
          <w:rFonts w:ascii="Adobe Arabic" w:hAnsi="Adobe Arabic" w:cs="Adobe Arabic"/>
          <w:sz w:val="24"/>
          <w:szCs w:val="24"/>
        </w:rPr>
        <w:t>.</w:t>
      </w:r>
    </w:p>
  </w:footnote>
  <w:footnote w:id="70">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الإمام الخمينيّ، تحرير الوسيلة، مصدر سابق، ج2، ص427</w:t>
      </w:r>
      <w:r w:rsidRPr="00C11D09">
        <w:rPr>
          <w:rFonts w:ascii="Adobe Arabic" w:hAnsi="Adobe Arabic" w:cs="Adobe Arabic"/>
          <w:sz w:val="24"/>
          <w:szCs w:val="24"/>
        </w:rPr>
        <w:t>.</w:t>
      </w:r>
    </w:p>
  </w:footnote>
  <w:footnote w:id="71">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w:t>
      </w:r>
      <w:r w:rsidRPr="00C11D09">
        <w:rPr>
          <w:rFonts w:ascii="Adobe Arabic" w:hAnsi="Adobe Arabic" w:cs="Adobe Arabic"/>
          <w:sz w:val="24"/>
          <w:szCs w:val="24"/>
        </w:rPr>
        <w:t>.</w:t>
      </w:r>
    </w:p>
  </w:footnote>
  <w:footnote w:id="72">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المصدر نفسه، ص428</w:t>
      </w:r>
      <w:r w:rsidRPr="00C11D09">
        <w:rPr>
          <w:rFonts w:ascii="Adobe Arabic" w:hAnsi="Adobe Arabic" w:cs="Adobe Arabic"/>
          <w:sz w:val="24"/>
          <w:szCs w:val="24"/>
        </w:rPr>
        <w:t>.</w:t>
      </w:r>
    </w:p>
  </w:footnote>
  <w:footnote w:id="73">
    <w:p w:rsidR="0098604B" w:rsidRPr="00C11D09" w:rsidRDefault="0098604B" w:rsidP="00C11D09">
      <w:pPr>
        <w:pStyle w:val="FootnoteText"/>
        <w:bidi/>
        <w:jc w:val="both"/>
        <w:rPr>
          <w:rFonts w:ascii="Adobe Arabic" w:hAnsi="Adobe Arabic" w:cs="Adobe Arabic"/>
          <w:sz w:val="24"/>
          <w:szCs w:val="24"/>
          <w:rtl/>
          <w:lang w:bidi="ar-LB"/>
        </w:rPr>
      </w:pPr>
      <w:r w:rsidRPr="00C11D09">
        <w:rPr>
          <w:rStyle w:val="FootnoteReference"/>
          <w:rFonts w:ascii="Adobe Arabic" w:hAnsi="Adobe Arabic" w:cs="Adobe Arabic"/>
          <w:sz w:val="24"/>
          <w:szCs w:val="24"/>
        </w:rPr>
        <w:footnoteRef/>
      </w:r>
      <w:r w:rsidRPr="00C11D09">
        <w:rPr>
          <w:rFonts w:ascii="Adobe Arabic" w:hAnsi="Adobe Arabic" w:cs="Adobe Arabic"/>
          <w:sz w:val="24"/>
          <w:szCs w:val="24"/>
        </w:rPr>
        <w:t xml:space="preserve"> </w:t>
      </w:r>
      <w:r w:rsidRPr="00C11D09">
        <w:rPr>
          <w:rFonts w:ascii="Adobe Arabic" w:hAnsi="Adobe Arabic" w:cs="Adobe Arabic"/>
          <w:sz w:val="24"/>
          <w:szCs w:val="24"/>
          <w:rtl/>
        </w:rPr>
        <w:t>أجاب على الاستفتاءات، مكتب الوكيل الشرعي للإمام الخامنئي</w:t>
      </w:r>
      <w:r w:rsidR="00C11D09">
        <w:rPr>
          <w:rFonts w:ascii="Adobe Arabic" w:hAnsi="Adobe Arabic" w:cs="Adobe Arabic"/>
          <w:sz w:val="24"/>
          <w:szCs w:val="24"/>
          <w:rtl/>
        </w:rPr>
        <w:t>(دام ظله)</w:t>
      </w:r>
      <w:r w:rsidRPr="00C11D09">
        <w:rPr>
          <w:rFonts w:ascii="Adobe Arabic" w:hAnsi="Adobe Arabic" w:cs="Adobe Arabic"/>
          <w:sz w:val="24"/>
          <w:szCs w:val="24"/>
          <w:rtl/>
        </w:rPr>
        <w:t xml:space="preserve"> في بيروت</w:t>
      </w:r>
      <w:r w:rsidRPr="00C11D09">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6946"/>
      <w:docPartObj>
        <w:docPartGallery w:val="Page Numbers (Margins)"/>
        <w:docPartUnique/>
      </w:docPartObj>
    </w:sdtPr>
    <w:sdtContent>
      <w:p w:rsidR="00EE46C4" w:rsidRDefault="00EE46C4">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46C4" w:rsidRPr="00E24746" w:rsidRDefault="00EE46C4" w:rsidP="003B070C">
                              <w:pPr>
                                <w:pBdr>
                                  <w:top w:val="single" w:sz="4" w:space="1" w:color="D8D8D8" w:themeColor="background1" w:themeShade="D8"/>
                                </w:pBdr>
                                <w:bidi/>
                                <w:jc w:val="both"/>
                                <w:rPr>
                                  <w:rFonts w:ascii="Adobe Arabic" w:hAnsi="Adobe Arabic" w:cs="Adobe Arabic"/>
                                  <w:sz w:val="32"/>
                                  <w:szCs w:val="32"/>
                                </w:rPr>
                              </w:pPr>
                              <w:r w:rsidRPr="00E24746">
                                <w:rPr>
                                  <w:rFonts w:ascii="Adobe Arabic" w:hAnsi="Adobe Arabic" w:cs="Adobe Arabic"/>
                                  <w:sz w:val="32"/>
                                  <w:szCs w:val="32"/>
                                </w:rPr>
                                <w:t xml:space="preserve">| </w:t>
                              </w:r>
                              <w:r w:rsidRPr="00E24746">
                                <w:rPr>
                                  <w:rFonts w:ascii="Adobe Arabic" w:hAnsi="Adobe Arabic" w:cs="Adobe Arabic"/>
                                  <w:sz w:val="32"/>
                                  <w:szCs w:val="32"/>
                                </w:rPr>
                                <w:fldChar w:fldCharType="begin"/>
                              </w:r>
                              <w:r w:rsidRPr="00E24746">
                                <w:rPr>
                                  <w:rFonts w:ascii="Adobe Arabic" w:hAnsi="Adobe Arabic" w:cs="Adobe Arabic"/>
                                  <w:sz w:val="32"/>
                                  <w:szCs w:val="32"/>
                                </w:rPr>
                                <w:instrText xml:space="preserve"> PAGE   \* MERGEFORMAT </w:instrText>
                              </w:r>
                              <w:r w:rsidRPr="00E24746">
                                <w:rPr>
                                  <w:rFonts w:ascii="Adobe Arabic" w:hAnsi="Adobe Arabic" w:cs="Adobe Arabic"/>
                                  <w:sz w:val="32"/>
                                  <w:szCs w:val="32"/>
                                </w:rPr>
                                <w:fldChar w:fldCharType="separate"/>
                              </w:r>
                              <w:r w:rsidR="00C11D09">
                                <w:rPr>
                                  <w:rFonts w:ascii="Adobe Arabic" w:hAnsi="Adobe Arabic" w:cs="Adobe Arabic"/>
                                  <w:noProof/>
                                  <w:sz w:val="32"/>
                                  <w:szCs w:val="32"/>
                                  <w:rtl/>
                                </w:rPr>
                                <w:t>7</w:t>
                              </w:r>
                              <w:r w:rsidRPr="00E24746">
                                <w:rPr>
                                  <w:rFonts w:ascii="Adobe Arabic" w:hAnsi="Adobe Arabic" w:cs="Adobe Arabic"/>
                                  <w:noProof/>
                                  <w:sz w:val="32"/>
                                  <w:szCs w:val="32"/>
                                </w:rPr>
                                <w:fldChar w:fldCharType="end"/>
                              </w:r>
                            </w:p>
                            <w:p w:rsidR="00EE46C4" w:rsidRDefault="00EE46C4">
                              <w:pPr>
                                <w:pBdr>
                                  <w:top w:val="single" w:sz="4" w:space="1" w:color="D8D8D8" w:themeColor="background1" w:themeShade="D8"/>
                                </w:pBdr>
                                <w:jc w:val="right"/>
                              </w:pP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27"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" o:allowincell="f" stroked="f">
                  <v:textbox style="mso-fit-shape-to-text:t" inset="0,,0">
                    <w:txbxContent>
                      <w:p w:rsidR="00EE46C4" w:rsidRPr="00E24746" w:rsidRDefault="00EE46C4" w:rsidP="003B070C">
                        <w:pPr>
                          <w:pBdr>
                            <w:top w:val="single" w:sz="4" w:space="1" w:color="D8D8D8" w:themeColor="background1" w:themeShade="D8"/>
                          </w:pBdr>
                          <w:bidi/>
                          <w:jc w:val="both"/>
                          <w:rPr>
                            <w:rFonts w:ascii="Adobe Arabic" w:hAnsi="Adobe Arabic" w:cs="Adobe Arabic"/>
                            <w:sz w:val="32"/>
                            <w:szCs w:val="32"/>
                          </w:rPr>
                        </w:pPr>
                        <w:r w:rsidRPr="00E24746">
                          <w:rPr>
                            <w:rFonts w:ascii="Adobe Arabic" w:hAnsi="Adobe Arabic" w:cs="Adobe Arabic"/>
                            <w:sz w:val="32"/>
                            <w:szCs w:val="32"/>
                          </w:rPr>
                          <w:t xml:space="preserve">| </w:t>
                        </w:r>
                        <w:r w:rsidRPr="00E24746">
                          <w:rPr>
                            <w:rFonts w:ascii="Adobe Arabic" w:hAnsi="Adobe Arabic" w:cs="Adobe Arabic"/>
                            <w:sz w:val="32"/>
                            <w:szCs w:val="32"/>
                          </w:rPr>
                          <w:fldChar w:fldCharType="begin"/>
                        </w:r>
                        <w:r w:rsidRPr="00E24746">
                          <w:rPr>
                            <w:rFonts w:ascii="Adobe Arabic" w:hAnsi="Adobe Arabic" w:cs="Adobe Arabic"/>
                            <w:sz w:val="32"/>
                            <w:szCs w:val="32"/>
                          </w:rPr>
                          <w:instrText xml:space="preserve"> PAGE   \* MERGEFORMAT </w:instrText>
                        </w:r>
                        <w:r w:rsidRPr="00E24746">
                          <w:rPr>
                            <w:rFonts w:ascii="Adobe Arabic" w:hAnsi="Adobe Arabic" w:cs="Adobe Arabic"/>
                            <w:sz w:val="32"/>
                            <w:szCs w:val="32"/>
                          </w:rPr>
                          <w:fldChar w:fldCharType="separate"/>
                        </w:r>
                        <w:r w:rsidR="00C11D09">
                          <w:rPr>
                            <w:rFonts w:ascii="Adobe Arabic" w:hAnsi="Adobe Arabic" w:cs="Adobe Arabic"/>
                            <w:noProof/>
                            <w:sz w:val="32"/>
                            <w:szCs w:val="32"/>
                            <w:rtl/>
                          </w:rPr>
                          <w:t>7</w:t>
                        </w:r>
                        <w:r w:rsidRPr="00E24746">
                          <w:rPr>
                            <w:rFonts w:ascii="Adobe Arabic" w:hAnsi="Adobe Arabic" w:cs="Adobe Arabic"/>
                            <w:noProof/>
                            <w:sz w:val="32"/>
                            <w:szCs w:val="32"/>
                          </w:rPr>
                          <w:fldChar w:fldCharType="end"/>
                        </w:r>
                      </w:p>
                      <w:p w:rsidR="00EE46C4" w:rsidRDefault="00EE46C4">
                        <w:pPr>
                          <w:pBdr>
                            <w:top w:val="single" w:sz="4" w:space="1" w:color="D8D8D8" w:themeColor="background1" w:themeShade="D8"/>
                          </w:pBdr>
                          <w:jc w:val="right"/>
                        </w:pP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4A"/>
    <w:rsid w:val="0003215D"/>
    <w:rsid w:val="000A1A4A"/>
    <w:rsid w:val="00166227"/>
    <w:rsid w:val="00181810"/>
    <w:rsid w:val="002525C5"/>
    <w:rsid w:val="003B070C"/>
    <w:rsid w:val="003C24BF"/>
    <w:rsid w:val="004D7FC6"/>
    <w:rsid w:val="005C2696"/>
    <w:rsid w:val="00662CFC"/>
    <w:rsid w:val="00724673"/>
    <w:rsid w:val="007E5C0E"/>
    <w:rsid w:val="008313D9"/>
    <w:rsid w:val="0098604B"/>
    <w:rsid w:val="00994BB3"/>
    <w:rsid w:val="00B13053"/>
    <w:rsid w:val="00B23F6A"/>
    <w:rsid w:val="00BF1D51"/>
    <w:rsid w:val="00BF287A"/>
    <w:rsid w:val="00C11D09"/>
    <w:rsid w:val="00C1482A"/>
    <w:rsid w:val="00C3383E"/>
    <w:rsid w:val="00CB45DB"/>
    <w:rsid w:val="00D56414"/>
    <w:rsid w:val="00D9186A"/>
    <w:rsid w:val="00EE46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B21D7"/>
  <w15:chartTrackingRefBased/>
  <w15:docId w15:val="{D72FE41A-C895-4D78-ACD3-2C0A6DF9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0C"/>
  </w:style>
  <w:style w:type="paragraph" w:styleId="Heading1">
    <w:name w:val="heading 1"/>
    <w:basedOn w:val="Normal"/>
    <w:next w:val="Normal"/>
    <w:link w:val="Heading1Char"/>
    <w:uiPriority w:val="9"/>
    <w:qFormat/>
    <w:rsid w:val="003B07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07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
    <w:name w:val="الماكيت_عنوان-الكتاب_عنوان-الكتاب"/>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0A1A4A"/>
  </w:style>
  <w:style w:type="paragraph" w:customStyle="1" w:styleId="inside">
    <w:name w:val="inside"/>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0A1A4A"/>
  </w:style>
  <w:style w:type="character" w:customStyle="1" w:styleId="black">
    <w:name w:val="black"/>
    <w:basedOn w:val="DefaultParagraphFont"/>
    <w:rsid w:val="000A1A4A"/>
  </w:style>
  <w:style w:type="character" w:customStyle="1" w:styleId="n-">
    <w:name w:val="n-"/>
    <w:basedOn w:val="DefaultParagraphFont"/>
    <w:rsid w:val="000A1A4A"/>
  </w:style>
  <w:style w:type="paragraph" w:customStyle="1" w:styleId="basic-paragraph">
    <w:name w:val="basic-paragraph"/>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1A4A"/>
    <w:rPr>
      <w:color w:val="0000FF"/>
      <w:u w:val="single"/>
    </w:rPr>
  </w:style>
  <w:style w:type="character" w:styleId="FollowedHyperlink">
    <w:name w:val="FollowedHyperlink"/>
    <w:basedOn w:val="DefaultParagraphFont"/>
    <w:uiPriority w:val="99"/>
    <w:semiHidden/>
    <w:unhideWhenUsed/>
    <w:rsid w:val="000A1A4A"/>
    <w:rPr>
      <w:color w:val="800080"/>
      <w:u w:val="single"/>
    </w:rPr>
  </w:style>
  <w:style w:type="character" w:customStyle="1" w:styleId="charoverride-4">
    <w:name w:val="charoverride-4"/>
    <w:basedOn w:val="DefaultParagraphFont"/>
    <w:rsid w:val="000A1A4A"/>
  </w:style>
  <w:style w:type="paragraph" w:customStyle="1" w:styleId="title-1">
    <w:name w:val="title-1"/>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1">
    <w:name w:val="table-of-content_toc1"/>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of-contenttoc2">
    <w:name w:val="table-of-content_toc2"/>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
    <w:name w:val="nu"/>
    <w:basedOn w:val="DefaultParagraphFont"/>
    <w:rsid w:val="000A1A4A"/>
  </w:style>
  <w:style w:type="paragraph" w:customStyle="1" w:styleId="-">
    <w:name w:val="عنوان-الفصل"/>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0A1A4A"/>
  </w:style>
  <w:style w:type="character" w:customStyle="1" w:styleId="bold">
    <w:name w:val="bold"/>
    <w:basedOn w:val="DefaultParagraphFont"/>
    <w:rsid w:val="000A1A4A"/>
  </w:style>
  <w:style w:type="character" w:customStyle="1" w:styleId="charoverride-5">
    <w:name w:val="charoverride-5"/>
    <w:basedOn w:val="DefaultParagraphFont"/>
    <w:rsid w:val="000A1A4A"/>
  </w:style>
  <w:style w:type="paragraph" w:customStyle="1" w:styleId="footnotes">
    <w:name w:val="footnotes"/>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0A1A4A"/>
  </w:style>
  <w:style w:type="paragraph" w:customStyle="1" w:styleId="title-2">
    <w:name w:val="title-2"/>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0A1A4A"/>
  </w:style>
  <w:style w:type="character" w:customStyle="1" w:styleId="charoverride-8">
    <w:name w:val="charoverride-8"/>
    <w:basedOn w:val="DefaultParagraphFont"/>
    <w:rsid w:val="000A1A4A"/>
  </w:style>
  <w:style w:type="character" w:customStyle="1" w:styleId="-0">
    <w:name w:val="الهلال-القرآني"/>
    <w:basedOn w:val="DefaultParagraphFont"/>
    <w:rsid w:val="000A1A4A"/>
  </w:style>
  <w:style w:type="character" w:customStyle="1" w:styleId="nbs">
    <w:name w:val="nbs"/>
    <w:basedOn w:val="DefaultParagraphFont"/>
    <w:rsid w:val="000A1A4A"/>
  </w:style>
  <w:style w:type="character" w:customStyle="1" w:styleId="-1">
    <w:name w:val="الآيات-القرآنية"/>
    <w:basedOn w:val="DefaultParagraphFont"/>
    <w:rsid w:val="000A1A4A"/>
  </w:style>
  <w:style w:type="character" w:customStyle="1" w:styleId="footnote-reference">
    <w:name w:val="footnote-reference"/>
    <w:basedOn w:val="DefaultParagraphFont"/>
    <w:rsid w:val="000A1A4A"/>
  </w:style>
  <w:style w:type="paragraph" w:customStyle="1" w:styleId="23">
    <w:name w:val="_23"/>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_5"/>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1">
    <w:name w:val="bold1"/>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مسألة"/>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2ala">
    <w:name w:val="mas2ala"/>
    <w:basedOn w:val="Normal"/>
    <w:rsid w:val="000A1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0A1A4A"/>
  </w:style>
  <w:style w:type="character" w:customStyle="1" w:styleId="logo-ftnts">
    <w:name w:val="logo-ftnts"/>
    <w:basedOn w:val="DefaultParagraphFont"/>
    <w:rsid w:val="000A1A4A"/>
  </w:style>
  <w:style w:type="paragraph" w:styleId="Header">
    <w:name w:val="header"/>
    <w:basedOn w:val="Normal"/>
    <w:link w:val="HeaderChar"/>
    <w:uiPriority w:val="99"/>
    <w:unhideWhenUsed/>
    <w:rsid w:val="003B07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B070C"/>
  </w:style>
  <w:style w:type="paragraph" w:styleId="Footer">
    <w:name w:val="footer"/>
    <w:basedOn w:val="Normal"/>
    <w:link w:val="FooterChar"/>
    <w:uiPriority w:val="99"/>
    <w:unhideWhenUsed/>
    <w:rsid w:val="003B07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070C"/>
  </w:style>
  <w:style w:type="character" w:customStyle="1" w:styleId="Heading1Char">
    <w:name w:val="Heading 1 Char"/>
    <w:basedOn w:val="DefaultParagraphFont"/>
    <w:link w:val="Heading1"/>
    <w:uiPriority w:val="9"/>
    <w:rsid w:val="003B07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070C"/>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724673"/>
    <w:pPr>
      <w:outlineLvl w:val="9"/>
    </w:pPr>
  </w:style>
  <w:style w:type="paragraph" w:styleId="TOC1">
    <w:name w:val="toc 1"/>
    <w:basedOn w:val="Normal"/>
    <w:next w:val="Normal"/>
    <w:autoRedefine/>
    <w:uiPriority w:val="39"/>
    <w:unhideWhenUsed/>
    <w:rsid w:val="00724673"/>
    <w:pPr>
      <w:tabs>
        <w:tab w:val="right" w:leader="dot" w:pos="8630"/>
      </w:tabs>
      <w:bidi/>
      <w:spacing w:after="100"/>
      <w:jc w:val="both"/>
    </w:pPr>
    <w:rPr>
      <w:rFonts w:ascii="Adobe Arabic" w:eastAsia="Times New Roman" w:hAnsi="Adobe Arabic" w:cs="Adobe Arabic"/>
      <w:b/>
      <w:bCs/>
      <w:noProof/>
      <w:color w:val="94553C"/>
      <w:sz w:val="32"/>
      <w:szCs w:val="32"/>
    </w:rPr>
  </w:style>
  <w:style w:type="paragraph" w:styleId="TOC2">
    <w:name w:val="toc 2"/>
    <w:basedOn w:val="Normal"/>
    <w:next w:val="Normal"/>
    <w:autoRedefine/>
    <w:uiPriority w:val="39"/>
    <w:unhideWhenUsed/>
    <w:rsid w:val="00724673"/>
    <w:pPr>
      <w:tabs>
        <w:tab w:val="right" w:leader="dot" w:pos="8630"/>
      </w:tabs>
      <w:bidi/>
      <w:spacing w:after="100"/>
      <w:ind w:left="220"/>
      <w:jc w:val="both"/>
    </w:pPr>
    <w:rPr>
      <w:rFonts w:ascii="Adobe Arabic" w:eastAsia="Times New Roman" w:hAnsi="Adobe Arabic" w:cs="Adobe Arabic"/>
      <w:b/>
      <w:bCs/>
      <w:noProof/>
      <w:color w:val="323E4F" w:themeColor="text2" w:themeShade="BF"/>
      <w:sz w:val="32"/>
      <w:szCs w:val="32"/>
    </w:rPr>
  </w:style>
  <w:style w:type="paragraph" w:styleId="FootnoteText">
    <w:name w:val="footnote text"/>
    <w:basedOn w:val="Normal"/>
    <w:link w:val="FootnoteTextChar"/>
    <w:uiPriority w:val="99"/>
    <w:semiHidden/>
    <w:unhideWhenUsed/>
    <w:rsid w:val="00BF1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D51"/>
    <w:rPr>
      <w:sz w:val="20"/>
      <w:szCs w:val="20"/>
    </w:rPr>
  </w:style>
  <w:style w:type="character" w:styleId="FootnoteReference">
    <w:name w:val="footnote reference"/>
    <w:basedOn w:val="DefaultParagraphFont"/>
    <w:uiPriority w:val="99"/>
    <w:semiHidden/>
    <w:unhideWhenUsed/>
    <w:rsid w:val="00BF1D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81623">
      <w:bodyDiv w:val="1"/>
      <w:marLeft w:val="0"/>
      <w:marRight w:val="0"/>
      <w:marTop w:val="0"/>
      <w:marBottom w:val="0"/>
      <w:divBdr>
        <w:top w:val="none" w:sz="0" w:space="0" w:color="auto"/>
        <w:left w:val="none" w:sz="0" w:space="0" w:color="auto"/>
        <w:bottom w:val="none" w:sz="0" w:space="0" w:color="auto"/>
        <w:right w:val="none" w:sz="0" w:space="0" w:color="auto"/>
      </w:divBdr>
      <w:divsChild>
        <w:div w:id="1139305794">
          <w:marLeft w:val="0"/>
          <w:marRight w:val="0"/>
          <w:marTop w:val="0"/>
          <w:marBottom w:val="0"/>
          <w:divBdr>
            <w:top w:val="none" w:sz="0" w:space="0" w:color="auto"/>
            <w:left w:val="none" w:sz="0" w:space="0" w:color="auto"/>
            <w:bottom w:val="none" w:sz="0" w:space="0" w:color="auto"/>
            <w:right w:val="none" w:sz="0" w:space="0" w:color="auto"/>
          </w:divBdr>
          <w:divsChild>
            <w:div w:id="659776247">
              <w:marLeft w:val="0"/>
              <w:marRight w:val="0"/>
              <w:marTop w:val="0"/>
              <w:marBottom w:val="0"/>
              <w:divBdr>
                <w:top w:val="none" w:sz="0" w:space="0" w:color="auto"/>
                <w:left w:val="none" w:sz="0" w:space="0" w:color="auto"/>
                <w:bottom w:val="none" w:sz="0" w:space="0" w:color="auto"/>
                <w:right w:val="none" w:sz="0" w:space="0" w:color="auto"/>
              </w:divBdr>
            </w:div>
          </w:divsChild>
        </w:div>
        <w:div w:id="809858891">
          <w:marLeft w:val="0"/>
          <w:marRight w:val="0"/>
          <w:marTop w:val="0"/>
          <w:marBottom w:val="0"/>
          <w:divBdr>
            <w:top w:val="none" w:sz="0" w:space="0" w:color="auto"/>
            <w:left w:val="none" w:sz="0" w:space="0" w:color="auto"/>
            <w:bottom w:val="none" w:sz="0" w:space="0" w:color="auto"/>
            <w:right w:val="none" w:sz="0" w:space="0" w:color="auto"/>
          </w:divBdr>
        </w:div>
        <w:div w:id="1604413780">
          <w:marLeft w:val="0"/>
          <w:marRight w:val="0"/>
          <w:marTop w:val="0"/>
          <w:marBottom w:val="0"/>
          <w:divBdr>
            <w:top w:val="none" w:sz="0" w:space="0" w:color="auto"/>
            <w:left w:val="none" w:sz="0" w:space="0" w:color="auto"/>
            <w:bottom w:val="none" w:sz="0" w:space="0" w:color="auto"/>
            <w:right w:val="none" w:sz="0" w:space="0" w:color="auto"/>
          </w:divBdr>
          <w:divsChild>
            <w:div w:id="328992831">
              <w:marLeft w:val="0"/>
              <w:marRight w:val="0"/>
              <w:marTop w:val="0"/>
              <w:marBottom w:val="0"/>
              <w:divBdr>
                <w:top w:val="none" w:sz="0" w:space="0" w:color="auto"/>
                <w:left w:val="none" w:sz="0" w:space="0" w:color="auto"/>
                <w:bottom w:val="none" w:sz="0" w:space="0" w:color="auto"/>
                <w:right w:val="none" w:sz="0" w:space="0" w:color="auto"/>
              </w:divBdr>
            </w:div>
          </w:divsChild>
        </w:div>
        <w:div w:id="1138189423">
          <w:marLeft w:val="0"/>
          <w:marRight w:val="0"/>
          <w:marTop w:val="0"/>
          <w:marBottom w:val="0"/>
          <w:divBdr>
            <w:top w:val="none" w:sz="0" w:space="0" w:color="auto"/>
            <w:left w:val="none" w:sz="0" w:space="0" w:color="auto"/>
            <w:bottom w:val="none" w:sz="0" w:space="0" w:color="auto"/>
            <w:right w:val="none" w:sz="0" w:space="0" w:color="auto"/>
          </w:divBdr>
        </w:div>
        <w:div w:id="1272473676">
          <w:marLeft w:val="0"/>
          <w:marRight w:val="0"/>
          <w:marTop w:val="0"/>
          <w:marBottom w:val="0"/>
          <w:divBdr>
            <w:top w:val="none" w:sz="0" w:space="0" w:color="auto"/>
            <w:left w:val="none" w:sz="0" w:space="0" w:color="auto"/>
            <w:bottom w:val="none" w:sz="0" w:space="0" w:color="auto"/>
            <w:right w:val="none" w:sz="0" w:space="0" w:color="auto"/>
          </w:divBdr>
          <w:divsChild>
            <w:div w:id="443501035">
              <w:marLeft w:val="0"/>
              <w:marRight w:val="0"/>
              <w:marTop w:val="0"/>
              <w:marBottom w:val="0"/>
              <w:divBdr>
                <w:top w:val="none" w:sz="0" w:space="0" w:color="auto"/>
                <w:left w:val="none" w:sz="0" w:space="0" w:color="auto"/>
                <w:bottom w:val="none" w:sz="0" w:space="0" w:color="auto"/>
                <w:right w:val="none" w:sz="0" w:space="0" w:color="auto"/>
              </w:divBdr>
              <w:divsChild>
                <w:div w:id="7209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4994">
          <w:marLeft w:val="0"/>
          <w:marRight w:val="0"/>
          <w:marTop w:val="0"/>
          <w:marBottom w:val="0"/>
          <w:divBdr>
            <w:top w:val="none" w:sz="0" w:space="0" w:color="auto"/>
            <w:left w:val="none" w:sz="0" w:space="0" w:color="auto"/>
            <w:bottom w:val="none" w:sz="0" w:space="0" w:color="auto"/>
            <w:right w:val="none" w:sz="0" w:space="0" w:color="auto"/>
          </w:divBdr>
          <w:divsChild>
            <w:div w:id="1306734855">
              <w:marLeft w:val="0"/>
              <w:marRight w:val="0"/>
              <w:marTop w:val="0"/>
              <w:marBottom w:val="0"/>
              <w:divBdr>
                <w:top w:val="none" w:sz="0" w:space="0" w:color="auto"/>
                <w:left w:val="none" w:sz="0" w:space="0" w:color="auto"/>
                <w:bottom w:val="none" w:sz="0" w:space="0" w:color="auto"/>
                <w:right w:val="none" w:sz="0" w:space="0" w:color="auto"/>
              </w:divBdr>
            </w:div>
          </w:divsChild>
        </w:div>
        <w:div w:id="2071689040">
          <w:marLeft w:val="0"/>
          <w:marRight w:val="0"/>
          <w:marTop w:val="0"/>
          <w:marBottom w:val="0"/>
          <w:divBdr>
            <w:top w:val="none" w:sz="0" w:space="0" w:color="auto"/>
            <w:left w:val="none" w:sz="0" w:space="0" w:color="auto"/>
            <w:bottom w:val="none" w:sz="0" w:space="0" w:color="auto"/>
            <w:right w:val="none" w:sz="0" w:space="0" w:color="auto"/>
          </w:divBdr>
        </w:div>
        <w:div w:id="2072534436">
          <w:marLeft w:val="0"/>
          <w:marRight w:val="0"/>
          <w:marTop w:val="0"/>
          <w:marBottom w:val="0"/>
          <w:divBdr>
            <w:top w:val="none" w:sz="0" w:space="0" w:color="auto"/>
            <w:left w:val="none" w:sz="0" w:space="0" w:color="auto"/>
            <w:bottom w:val="none" w:sz="0" w:space="0" w:color="auto"/>
            <w:right w:val="none" w:sz="0" w:space="0" w:color="auto"/>
          </w:divBdr>
          <w:divsChild>
            <w:div w:id="1738740901">
              <w:marLeft w:val="0"/>
              <w:marRight w:val="0"/>
              <w:marTop w:val="0"/>
              <w:marBottom w:val="0"/>
              <w:divBdr>
                <w:top w:val="none" w:sz="0" w:space="0" w:color="auto"/>
                <w:left w:val="none" w:sz="0" w:space="0" w:color="auto"/>
                <w:bottom w:val="none" w:sz="0" w:space="0" w:color="auto"/>
                <w:right w:val="none" w:sz="0" w:space="0" w:color="auto"/>
              </w:divBdr>
            </w:div>
          </w:divsChild>
        </w:div>
        <w:div w:id="1618949975">
          <w:marLeft w:val="0"/>
          <w:marRight w:val="0"/>
          <w:marTop w:val="0"/>
          <w:marBottom w:val="0"/>
          <w:divBdr>
            <w:top w:val="none" w:sz="0" w:space="0" w:color="auto"/>
            <w:left w:val="none" w:sz="0" w:space="0" w:color="auto"/>
            <w:bottom w:val="none" w:sz="0" w:space="0" w:color="auto"/>
            <w:right w:val="none" w:sz="0" w:space="0" w:color="auto"/>
          </w:divBdr>
          <w:divsChild>
            <w:div w:id="140585209">
              <w:marLeft w:val="0"/>
              <w:marRight w:val="0"/>
              <w:marTop w:val="0"/>
              <w:marBottom w:val="0"/>
              <w:divBdr>
                <w:top w:val="none" w:sz="0" w:space="0" w:color="auto"/>
                <w:left w:val="none" w:sz="0" w:space="0" w:color="auto"/>
                <w:bottom w:val="none" w:sz="0" w:space="0" w:color="auto"/>
                <w:right w:val="none" w:sz="0" w:space="0" w:color="auto"/>
              </w:divBdr>
            </w:div>
          </w:divsChild>
        </w:div>
        <w:div w:id="328799908">
          <w:marLeft w:val="0"/>
          <w:marRight w:val="0"/>
          <w:marTop w:val="0"/>
          <w:marBottom w:val="0"/>
          <w:divBdr>
            <w:top w:val="none" w:sz="0" w:space="0" w:color="auto"/>
            <w:left w:val="none" w:sz="0" w:space="0" w:color="auto"/>
            <w:bottom w:val="none" w:sz="0" w:space="0" w:color="auto"/>
            <w:right w:val="none" w:sz="0" w:space="0" w:color="auto"/>
          </w:divBdr>
        </w:div>
        <w:div w:id="360128256">
          <w:marLeft w:val="0"/>
          <w:marRight w:val="0"/>
          <w:marTop w:val="0"/>
          <w:marBottom w:val="0"/>
          <w:divBdr>
            <w:top w:val="none" w:sz="0" w:space="0" w:color="auto"/>
            <w:left w:val="none" w:sz="0" w:space="0" w:color="auto"/>
            <w:bottom w:val="none" w:sz="0" w:space="0" w:color="auto"/>
            <w:right w:val="none" w:sz="0" w:space="0" w:color="auto"/>
          </w:divBdr>
          <w:divsChild>
            <w:div w:id="239676433">
              <w:marLeft w:val="0"/>
              <w:marRight w:val="0"/>
              <w:marTop w:val="0"/>
              <w:marBottom w:val="0"/>
              <w:divBdr>
                <w:top w:val="none" w:sz="0" w:space="0" w:color="auto"/>
                <w:left w:val="none" w:sz="0" w:space="0" w:color="auto"/>
                <w:bottom w:val="none" w:sz="0" w:space="0" w:color="auto"/>
                <w:right w:val="none" w:sz="0" w:space="0" w:color="auto"/>
              </w:divBdr>
              <w:divsChild>
                <w:div w:id="5913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9174">
          <w:marLeft w:val="0"/>
          <w:marRight w:val="0"/>
          <w:marTop w:val="0"/>
          <w:marBottom w:val="0"/>
          <w:divBdr>
            <w:top w:val="none" w:sz="0" w:space="0" w:color="auto"/>
            <w:left w:val="none" w:sz="0" w:space="0" w:color="auto"/>
            <w:bottom w:val="none" w:sz="0" w:space="0" w:color="auto"/>
            <w:right w:val="none" w:sz="0" w:space="0" w:color="auto"/>
          </w:divBdr>
          <w:divsChild>
            <w:div w:id="1074426464">
              <w:marLeft w:val="0"/>
              <w:marRight w:val="0"/>
              <w:marTop w:val="0"/>
              <w:marBottom w:val="0"/>
              <w:divBdr>
                <w:top w:val="none" w:sz="0" w:space="0" w:color="auto"/>
                <w:left w:val="none" w:sz="0" w:space="0" w:color="auto"/>
                <w:bottom w:val="none" w:sz="0" w:space="0" w:color="auto"/>
                <w:right w:val="none" w:sz="0" w:space="0" w:color="auto"/>
              </w:divBdr>
              <w:divsChild>
                <w:div w:id="1370106877">
                  <w:marLeft w:val="0"/>
                  <w:marRight w:val="0"/>
                  <w:marTop w:val="0"/>
                  <w:marBottom w:val="0"/>
                  <w:divBdr>
                    <w:top w:val="none" w:sz="0" w:space="0" w:color="auto"/>
                    <w:left w:val="none" w:sz="0" w:space="0" w:color="auto"/>
                    <w:bottom w:val="none" w:sz="0" w:space="0" w:color="auto"/>
                    <w:right w:val="none" w:sz="0" w:space="0" w:color="auto"/>
                  </w:divBdr>
                </w:div>
                <w:div w:id="343553592">
                  <w:marLeft w:val="0"/>
                  <w:marRight w:val="0"/>
                  <w:marTop w:val="0"/>
                  <w:marBottom w:val="0"/>
                  <w:divBdr>
                    <w:top w:val="none" w:sz="0" w:space="0" w:color="auto"/>
                    <w:left w:val="none" w:sz="0" w:space="0" w:color="auto"/>
                    <w:bottom w:val="none" w:sz="0" w:space="0" w:color="auto"/>
                    <w:right w:val="none" w:sz="0" w:space="0" w:color="auto"/>
                  </w:divBdr>
                </w:div>
                <w:div w:id="679967244">
                  <w:marLeft w:val="0"/>
                  <w:marRight w:val="0"/>
                  <w:marTop w:val="0"/>
                  <w:marBottom w:val="0"/>
                  <w:divBdr>
                    <w:top w:val="none" w:sz="0" w:space="0" w:color="auto"/>
                    <w:left w:val="none" w:sz="0" w:space="0" w:color="auto"/>
                    <w:bottom w:val="none" w:sz="0" w:space="0" w:color="auto"/>
                    <w:right w:val="none" w:sz="0" w:space="0" w:color="auto"/>
                  </w:divBdr>
                </w:div>
                <w:div w:id="1296837692">
                  <w:marLeft w:val="0"/>
                  <w:marRight w:val="0"/>
                  <w:marTop w:val="0"/>
                  <w:marBottom w:val="0"/>
                  <w:divBdr>
                    <w:top w:val="none" w:sz="0" w:space="0" w:color="auto"/>
                    <w:left w:val="none" w:sz="0" w:space="0" w:color="auto"/>
                    <w:bottom w:val="none" w:sz="0" w:space="0" w:color="auto"/>
                    <w:right w:val="none" w:sz="0" w:space="0" w:color="auto"/>
                  </w:divBdr>
                </w:div>
                <w:div w:id="482085342">
                  <w:marLeft w:val="0"/>
                  <w:marRight w:val="0"/>
                  <w:marTop w:val="0"/>
                  <w:marBottom w:val="0"/>
                  <w:divBdr>
                    <w:top w:val="none" w:sz="0" w:space="0" w:color="auto"/>
                    <w:left w:val="none" w:sz="0" w:space="0" w:color="auto"/>
                    <w:bottom w:val="none" w:sz="0" w:space="0" w:color="auto"/>
                    <w:right w:val="none" w:sz="0" w:space="0" w:color="auto"/>
                  </w:divBdr>
                </w:div>
                <w:div w:id="577207195">
                  <w:marLeft w:val="0"/>
                  <w:marRight w:val="0"/>
                  <w:marTop w:val="0"/>
                  <w:marBottom w:val="0"/>
                  <w:divBdr>
                    <w:top w:val="none" w:sz="0" w:space="0" w:color="auto"/>
                    <w:left w:val="none" w:sz="0" w:space="0" w:color="auto"/>
                    <w:bottom w:val="none" w:sz="0" w:space="0" w:color="auto"/>
                    <w:right w:val="none" w:sz="0" w:space="0" w:color="auto"/>
                  </w:divBdr>
                </w:div>
                <w:div w:id="286862418">
                  <w:marLeft w:val="0"/>
                  <w:marRight w:val="0"/>
                  <w:marTop w:val="0"/>
                  <w:marBottom w:val="0"/>
                  <w:divBdr>
                    <w:top w:val="none" w:sz="0" w:space="0" w:color="auto"/>
                    <w:left w:val="none" w:sz="0" w:space="0" w:color="auto"/>
                    <w:bottom w:val="none" w:sz="0" w:space="0" w:color="auto"/>
                    <w:right w:val="none" w:sz="0" w:space="0" w:color="auto"/>
                  </w:divBdr>
                </w:div>
                <w:div w:id="1685552341">
                  <w:marLeft w:val="0"/>
                  <w:marRight w:val="0"/>
                  <w:marTop w:val="0"/>
                  <w:marBottom w:val="0"/>
                  <w:divBdr>
                    <w:top w:val="none" w:sz="0" w:space="0" w:color="auto"/>
                    <w:left w:val="none" w:sz="0" w:space="0" w:color="auto"/>
                    <w:bottom w:val="none" w:sz="0" w:space="0" w:color="auto"/>
                    <w:right w:val="none" w:sz="0" w:space="0" w:color="auto"/>
                  </w:divBdr>
                </w:div>
                <w:div w:id="611594383">
                  <w:marLeft w:val="0"/>
                  <w:marRight w:val="0"/>
                  <w:marTop w:val="0"/>
                  <w:marBottom w:val="0"/>
                  <w:divBdr>
                    <w:top w:val="none" w:sz="0" w:space="0" w:color="auto"/>
                    <w:left w:val="none" w:sz="0" w:space="0" w:color="auto"/>
                    <w:bottom w:val="none" w:sz="0" w:space="0" w:color="auto"/>
                    <w:right w:val="none" w:sz="0" w:space="0" w:color="auto"/>
                  </w:divBdr>
                </w:div>
                <w:div w:id="97677211">
                  <w:marLeft w:val="0"/>
                  <w:marRight w:val="0"/>
                  <w:marTop w:val="0"/>
                  <w:marBottom w:val="0"/>
                  <w:divBdr>
                    <w:top w:val="none" w:sz="0" w:space="0" w:color="auto"/>
                    <w:left w:val="none" w:sz="0" w:space="0" w:color="auto"/>
                    <w:bottom w:val="none" w:sz="0" w:space="0" w:color="auto"/>
                    <w:right w:val="none" w:sz="0" w:space="0" w:color="auto"/>
                  </w:divBdr>
                </w:div>
                <w:div w:id="686367608">
                  <w:marLeft w:val="0"/>
                  <w:marRight w:val="0"/>
                  <w:marTop w:val="0"/>
                  <w:marBottom w:val="0"/>
                  <w:divBdr>
                    <w:top w:val="none" w:sz="0" w:space="0" w:color="auto"/>
                    <w:left w:val="none" w:sz="0" w:space="0" w:color="auto"/>
                    <w:bottom w:val="none" w:sz="0" w:space="0" w:color="auto"/>
                    <w:right w:val="none" w:sz="0" w:space="0" w:color="auto"/>
                  </w:divBdr>
                </w:div>
                <w:div w:id="1072851334">
                  <w:marLeft w:val="0"/>
                  <w:marRight w:val="0"/>
                  <w:marTop w:val="0"/>
                  <w:marBottom w:val="0"/>
                  <w:divBdr>
                    <w:top w:val="none" w:sz="0" w:space="0" w:color="auto"/>
                    <w:left w:val="none" w:sz="0" w:space="0" w:color="auto"/>
                    <w:bottom w:val="none" w:sz="0" w:space="0" w:color="auto"/>
                    <w:right w:val="none" w:sz="0" w:space="0" w:color="auto"/>
                  </w:divBdr>
                </w:div>
                <w:div w:id="1436680927">
                  <w:marLeft w:val="0"/>
                  <w:marRight w:val="0"/>
                  <w:marTop w:val="0"/>
                  <w:marBottom w:val="0"/>
                  <w:divBdr>
                    <w:top w:val="none" w:sz="0" w:space="0" w:color="auto"/>
                    <w:left w:val="none" w:sz="0" w:space="0" w:color="auto"/>
                    <w:bottom w:val="none" w:sz="0" w:space="0" w:color="auto"/>
                    <w:right w:val="none" w:sz="0" w:space="0" w:color="auto"/>
                  </w:divBdr>
                </w:div>
                <w:div w:id="1013607225">
                  <w:marLeft w:val="0"/>
                  <w:marRight w:val="0"/>
                  <w:marTop w:val="0"/>
                  <w:marBottom w:val="0"/>
                  <w:divBdr>
                    <w:top w:val="none" w:sz="0" w:space="0" w:color="auto"/>
                    <w:left w:val="none" w:sz="0" w:space="0" w:color="auto"/>
                    <w:bottom w:val="none" w:sz="0" w:space="0" w:color="auto"/>
                    <w:right w:val="none" w:sz="0" w:space="0" w:color="auto"/>
                  </w:divBdr>
                </w:div>
                <w:div w:id="596519551">
                  <w:marLeft w:val="0"/>
                  <w:marRight w:val="0"/>
                  <w:marTop w:val="0"/>
                  <w:marBottom w:val="0"/>
                  <w:divBdr>
                    <w:top w:val="none" w:sz="0" w:space="0" w:color="auto"/>
                    <w:left w:val="none" w:sz="0" w:space="0" w:color="auto"/>
                    <w:bottom w:val="none" w:sz="0" w:space="0" w:color="auto"/>
                    <w:right w:val="none" w:sz="0" w:space="0" w:color="auto"/>
                  </w:divBdr>
                </w:div>
                <w:div w:id="1766805888">
                  <w:marLeft w:val="0"/>
                  <w:marRight w:val="0"/>
                  <w:marTop w:val="0"/>
                  <w:marBottom w:val="0"/>
                  <w:divBdr>
                    <w:top w:val="none" w:sz="0" w:space="0" w:color="auto"/>
                    <w:left w:val="none" w:sz="0" w:space="0" w:color="auto"/>
                    <w:bottom w:val="none" w:sz="0" w:space="0" w:color="auto"/>
                    <w:right w:val="none" w:sz="0" w:space="0" w:color="auto"/>
                  </w:divBdr>
                </w:div>
                <w:div w:id="1024357421">
                  <w:marLeft w:val="0"/>
                  <w:marRight w:val="0"/>
                  <w:marTop w:val="0"/>
                  <w:marBottom w:val="0"/>
                  <w:divBdr>
                    <w:top w:val="none" w:sz="0" w:space="0" w:color="auto"/>
                    <w:left w:val="none" w:sz="0" w:space="0" w:color="auto"/>
                    <w:bottom w:val="none" w:sz="0" w:space="0" w:color="auto"/>
                    <w:right w:val="none" w:sz="0" w:space="0" w:color="auto"/>
                  </w:divBdr>
                </w:div>
                <w:div w:id="386953342">
                  <w:marLeft w:val="0"/>
                  <w:marRight w:val="0"/>
                  <w:marTop w:val="0"/>
                  <w:marBottom w:val="0"/>
                  <w:divBdr>
                    <w:top w:val="none" w:sz="0" w:space="0" w:color="auto"/>
                    <w:left w:val="none" w:sz="0" w:space="0" w:color="auto"/>
                    <w:bottom w:val="none" w:sz="0" w:space="0" w:color="auto"/>
                    <w:right w:val="none" w:sz="0" w:space="0" w:color="auto"/>
                  </w:divBdr>
                </w:div>
                <w:div w:id="1087311751">
                  <w:marLeft w:val="0"/>
                  <w:marRight w:val="0"/>
                  <w:marTop w:val="0"/>
                  <w:marBottom w:val="0"/>
                  <w:divBdr>
                    <w:top w:val="none" w:sz="0" w:space="0" w:color="auto"/>
                    <w:left w:val="none" w:sz="0" w:space="0" w:color="auto"/>
                    <w:bottom w:val="none" w:sz="0" w:space="0" w:color="auto"/>
                    <w:right w:val="none" w:sz="0" w:space="0" w:color="auto"/>
                  </w:divBdr>
                </w:div>
                <w:div w:id="852647838">
                  <w:marLeft w:val="0"/>
                  <w:marRight w:val="0"/>
                  <w:marTop w:val="0"/>
                  <w:marBottom w:val="0"/>
                  <w:divBdr>
                    <w:top w:val="none" w:sz="0" w:space="0" w:color="auto"/>
                    <w:left w:val="none" w:sz="0" w:space="0" w:color="auto"/>
                    <w:bottom w:val="none" w:sz="0" w:space="0" w:color="auto"/>
                    <w:right w:val="none" w:sz="0" w:space="0" w:color="auto"/>
                  </w:divBdr>
                </w:div>
                <w:div w:id="1472362128">
                  <w:marLeft w:val="0"/>
                  <w:marRight w:val="0"/>
                  <w:marTop w:val="0"/>
                  <w:marBottom w:val="0"/>
                  <w:divBdr>
                    <w:top w:val="none" w:sz="0" w:space="0" w:color="auto"/>
                    <w:left w:val="none" w:sz="0" w:space="0" w:color="auto"/>
                    <w:bottom w:val="none" w:sz="0" w:space="0" w:color="auto"/>
                    <w:right w:val="none" w:sz="0" w:space="0" w:color="auto"/>
                  </w:divBdr>
                </w:div>
                <w:div w:id="420760411">
                  <w:marLeft w:val="0"/>
                  <w:marRight w:val="0"/>
                  <w:marTop w:val="0"/>
                  <w:marBottom w:val="0"/>
                  <w:divBdr>
                    <w:top w:val="none" w:sz="0" w:space="0" w:color="auto"/>
                    <w:left w:val="none" w:sz="0" w:space="0" w:color="auto"/>
                    <w:bottom w:val="none" w:sz="0" w:space="0" w:color="auto"/>
                    <w:right w:val="none" w:sz="0" w:space="0" w:color="auto"/>
                  </w:divBdr>
                </w:div>
                <w:div w:id="91164688">
                  <w:marLeft w:val="0"/>
                  <w:marRight w:val="0"/>
                  <w:marTop w:val="0"/>
                  <w:marBottom w:val="0"/>
                  <w:divBdr>
                    <w:top w:val="none" w:sz="0" w:space="0" w:color="auto"/>
                    <w:left w:val="none" w:sz="0" w:space="0" w:color="auto"/>
                    <w:bottom w:val="none" w:sz="0" w:space="0" w:color="auto"/>
                    <w:right w:val="none" w:sz="0" w:space="0" w:color="auto"/>
                  </w:divBdr>
                </w:div>
                <w:div w:id="1399019041">
                  <w:marLeft w:val="0"/>
                  <w:marRight w:val="0"/>
                  <w:marTop w:val="0"/>
                  <w:marBottom w:val="0"/>
                  <w:divBdr>
                    <w:top w:val="none" w:sz="0" w:space="0" w:color="auto"/>
                    <w:left w:val="none" w:sz="0" w:space="0" w:color="auto"/>
                    <w:bottom w:val="none" w:sz="0" w:space="0" w:color="auto"/>
                    <w:right w:val="none" w:sz="0" w:space="0" w:color="auto"/>
                  </w:divBdr>
                </w:div>
                <w:div w:id="1387870646">
                  <w:marLeft w:val="0"/>
                  <w:marRight w:val="0"/>
                  <w:marTop w:val="0"/>
                  <w:marBottom w:val="0"/>
                  <w:divBdr>
                    <w:top w:val="none" w:sz="0" w:space="0" w:color="auto"/>
                    <w:left w:val="none" w:sz="0" w:space="0" w:color="auto"/>
                    <w:bottom w:val="none" w:sz="0" w:space="0" w:color="auto"/>
                    <w:right w:val="none" w:sz="0" w:space="0" w:color="auto"/>
                  </w:divBdr>
                </w:div>
                <w:div w:id="30809166">
                  <w:marLeft w:val="0"/>
                  <w:marRight w:val="0"/>
                  <w:marTop w:val="0"/>
                  <w:marBottom w:val="0"/>
                  <w:divBdr>
                    <w:top w:val="none" w:sz="0" w:space="0" w:color="auto"/>
                    <w:left w:val="none" w:sz="0" w:space="0" w:color="auto"/>
                    <w:bottom w:val="none" w:sz="0" w:space="0" w:color="auto"/>
                    <w:right w:val="none" w:sz="0" w:space="0" w:color="auto"/>
                  </w:divBdr>
                </w:div>
                <w:div w:id="1655835154">
                  <w:marLeft w:val="0"/>
                  <w:marRight w:val="0"/>
                  <w:marTop w:val="0"/>
                  <w:marBottom w:val="0"/>
                  <w:divBdr>
                    <w:top w:val="none" w:sz="0" w:space="0" w:color="auto"/>
                    <w:left w:val="none" w:sz="0" w:space="0" w:color="auto"/>
                    <w:bottom w:val="none" w:sz="0" w:space="0" w:color="auto"/>
                    <w:right w:val="none" w:sz="0" w:space="0" w:color="auto"/>
                  </w:divBdr>
                </w:div>
                <w:div w:id="1298953191">
                  <w:marLeft w:val="0"/>
                  <w:marRight w:val="0"/>
                  <w:marTop w:val="0"/>
                  <w:marBottom w:val="0"/>
                  <w:divBdr>
                    <w:top w:val="none" w:sz="0" w:space="0" w:color="auto"/>
                    <w:left w:val="none" w:sz="0" w:space="0" w:color="auto"/>
                    <w:bottom w:val="none" w:sz="0" w:space="0" w:color="auto"/>
                    <w:right w:val="none" w:sz="0" w:space="0" w:color="auto"/>
                  </w:divBdr>
                </w:div>
                <w:div w:id="132409746">
                  <w:marLeft w:val="0"/>
                  <w:marRight w:val="0"/>
                  <w:marTop w:val="0"/>
                  <w:marBottom w:val="0"/>
                  <w:divBdr>
                    <w:top w:val="none" w:sz="0" w:space="0" w:color="auto"/>
                    <w:left w:val="none" w:sz="0" w:space="0" w:color="auto"/>
                    <w:bottom w:val="none" w:sz="0" w:space="0" w:color="auto"/>
                    <w:right w:val="none" w:sz="0" w:space="0" w:color="auto"/>
                  </w:divBdr>
                </w:div>
                <w:div w:id="834297487">
                  <w:marLeft w:val="0"/>
                  <w:marRight w:val="0"/>
                  <w:marTop w:val="0"/>
                  <w:marBottom w:val="0"/>
                  <w:divBdr>
                    <w:top w:val="none" w:sz="0" w:space="0" w:color="auto"/>
                    <w:left w:val="none" w:sz="0" w:space="0" w:color="auto"/>
                    <w:bottom w:val="none" w:sz="0" w:space="0" w:color="auto"/>
                    <w:right w:val="none" w:sz="0" w:space="0" w:color="auto"/>
                  </w:divBdr>
                </w:div>
                <w:div w:id="751051543">
                  <w:marLeft w:val="0"/>
                  <w:marRight w:val="0"/>
                  <w:marTop w:val="0"/>
                  <w:marBottom w:val="0"/>
                  <w:divBdr>
                    <w:top w:val="none" w:sz="0" w:space="0" w:color="auto"/>
                    <w:left w:val="none" w:sz="0" w:space="0" w:color="auto"/>
                    <w:bottom w:val="none" w:sz="0" w:space="0" w:color="auto"/>
                    <w:right w:val="none" w:sz="0" w:space="0" w:color="auto"/>
                  </w:divBdr>
                </w:div>
                <w:div w:id="1141191071">
                  <w:marLeft w:val="0"/>
                  <w:marRight w:val="0"/>
                  <w:marTop w:val="0"/>
                  <w:marBottom w:val="0"/>
                  <w:divBdr>
                    <w:top w:val="none" w:sz="0" w:space="0" w:color="auto"/>
                    <w:left w:val="none" w:sz="0" w:space="0" w:color="auto"/>
                    <w:bottom w:val="none" w:sz="0" w:space="0" w:color="auto"/>
                    <w:right w:val="none" w:sz="0" w:space="0" w:color="auto"/>
                  </w:divBdr>
                </w:div>
                <w:div w:id="873346590">
                  <w:marLeft w:val="0"/>
                  <w:marRight w:val="0"/>
                  <w:marTop w:val="0"/>
                  <w:marBottom w:val="0"/>
                  <w:divBdr>
                    <w:top w:val="none" w:sz="0" w:space="0" w:color="auto"/>
                    <w:left w:val="none" w:sz="0" w:space="0" w:color="auto"/>
                    <w:bottom w:val="none" w:sz="0" w:space="0" w:color="auto"/>
                    <w:right w:val="none" w:sz="0" w:space="0" w:color="auto"/>
                  </w:divBdr>
                </w:div>
                <w:div w:id="755710528">
                  <w:marLeft w:val="0"/>
                  <w:marRight w:val="0"/>
                  <w:marTop w:val="0"/>
                  <w:marBottom w:val="0"/>
                  <w:divBdr>
                    <w:top w:val="none" w:sz="0" w:space="0" w:color="auto"/>
                    <w:left w:val="none" w:sz="0" w:space="0" w:color="auto"/>
                    <w:bottom w:val="none" w:sz="0" w:space="0" w:color="auto"/>
                    <w:right w:val="none" w:sz="0" w:space="0" w:color="auto"/>
                  </w:divBdr>
                </w:div>
                <w:div w:id="835652980">
                  <w:marLeft w:val="0"/>
                  <w:marRight w:val="0"/>
                  <w:marTop w:val="0"/>
                  <w:marBottom w:val="0"/>
                  <w:divBdr>
                    <w:top w:val="none" w:sz="0" w:space="0" w:color="auto"/>
                    <w:left w:val="none" w:sz="0" w:space="0" w:color="auto"/>
                    <w:bottom w:val="none" w:sz="0" w:space="0" w:color="auto"/>
                    <w:right w:val="none" w:sz="0" w:space="0" w:color="auto"/>
                  </w:divBdr>
                </w:div>
                <w:div w:id="362747997">
                  <w:marLeft w:val="0"/>
                  <w:marRight w:val="0"/>
                  <w:marTop w:val="0"/>
                  <w:marBottom w:val="0"/>
                  <w:divBdr>
                    <w:top w:val="none" w:sz="0" w:space="0" w:color="auto"/>
                    <w:left w:val="none" w:sz="0" w:space="0" w:color="auto"/>
                    <w:bottom w:val="none" w:sz="0" w:space="0" w:color="auto"/>
                    <w:right w:val="none" w:sz="0" w:space="0" w:color="auto"/>
                  </w:divBdr>
                </w:div>
                <w:div w:id="7687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1766">
          <w:marLeft w:val="0"/>
          <w:marRight w:val="0"/>
          <w:marTop w:val="0"/>
          <w:marBottom w:val="0"/>
          <w:divBdr>
            <w:top w:val="none" w:sz="0" w:space="0" w:color="auto"/>
            <w:left w:val="none" w:sz="0" w:space="0" w:color="auto"/>
            <w:bottom w:val="none" w:sz="0" w:space="0" w:color="auto"/>
            <w:right w:val="none" w:sz="0" w:space="0" w:color="auto"/>
          </w:divBdr>
          <w:divsChild>
            <w:div w:id="1245913701">
              <w:marLeft w:val="0"/>
              <w:marRight w:val="0"/>
              <w:marTop w:val="0"/>
              <w:marBottom w:val="0"/>
              <w:divBdr>
                <w:top w:val="none" w:sz="0" w:space="0" w:color="auto"/>
                <w:left w:val="none" w:sz="0" w:space="0" w:color="auto"/>
                <w:bottom w:val="none" w:sz="0" w:space="0" w:color="auto"/>
                <w:right w:val="none" w:sz="0" w:space="0" w:color="auto"/>
              </w:divBdr>
            </w:div>
          </w:divsChild>
        </w:div>
        <w:div w:id="402917335">
          <w:marLeft w:val="0"/>
          <w:marRight w:val="0"/>
          <w:marTop w:val="0"/>
          <w:marBottom w:val="0"/>
          <w:divBdr>
            <w:top w:val="none" w:sz="0" w:space="0" w:color="auto"/>
            <w:left w:val="none" w:sz="0" w:space="0" w:color="auto"/>
            <w:bottom w:val="none" w:sz="0" w:space="0" w:color="auto"/>
            <w:right w:val="none" w:sz="0" w:space="0" w:color="auto"/>
          </w:divBdr>
          <w:divsChild>
            <w:div w:id="2009402696">
              <w:marLeft w:val="0"/>
              <w:marRight w:val="0"/>
              <w:marTop w:val="0"/>
              <w:marBottom w:val="0"/>
              <w:divBdr>
                <w:top w:val="none" w:sz="0" w:space="0" w:color="auto"/>
                <w:left w:val="none" w:sz="0" w:space="0" w:color="auto"/>
                <w:bottom w:val="none" w:sz="0" w:space="0" w:color="auto"/>
                <w:right w:val="none" w:sz="0" w:space="0" w:color="auto"/>
              </w:divBdr>
              <w:divsChild>
                <w:div w:id="1755973930">
                  <w:marLeft w:val="0"/>
                  <w:marRight w:val="0"/>
                  <w:marTop w:val="0"/>
                  <w:marBottom w:val="0"/>
                  <w:divBdr>
                    <w:top w:val="none" w:sz="0" w:space="0" w:color="auto"/>
                    <w:left w:val="none" w:sz="0" w:space="0" w:color="auto"/>
                    <w:bottom w:val="none" w:sz="0" w:space="0" w:color="auto"/>
                    <w:right w:val="none" w:sz="0" w:space="0" w:color="auto"/>
                  </w:divBdr>
                </w:div>
                <w:div w:id="174350681">
                  <w:marLeft w:val="0"/>
                  <w:marRight w:val="0"/>
                  <w:marTop w:val="0"/>
                  <w:marBottom w:val="0"/>
                  <w:divBdr>
                    <w:top w:val="none" w:sz="0" w:space="0" w:color="auto"/>
                    <w:left w:val="none" w:sz="0" w:space="0" w:color="auto"/>
                    <w:bottom w:val="none" w:sz="0" w:space="0" w:color="auto"/>
                    <w:right w:val="none" w:sz="0" w:space="0" w:color="auto"/>
                  </w:divBdr>
                </w:div>
                <w:div w:id="1117406111">
                  <w:marLeft w:val="0"/>
                  <w:marRight w:val="0"/>
                  <w:marTop w:val="0"/>
                  <w:marBottom w:val="0"/>
                  <w:divBdr>
                    <w:top w:val="none" w:sz="0" w:space="0" w:color="auto"/>
                    <w:left w:val="none" w:sz="0" w:space="0" w:color="auto"/>
                    <w:bottom w:val="none" w:sz="0" w:space="0" w:color="auto"/>
                    <w:right w:val="none" w:sz="0" w:space="0" w:color="auto"/>
                  </w:divBdr>
                </w:div>
                <w:div w:id="1276252856">
                  <w:marLeft w:val="0"/>
                  <w:marRight w:val="0"/>
                  <w:marTop w:val="0"/>
                  <w:marBottom w:val="0"/>
                  <w:divBdr>
                    <w:top w:val="none" w:sz="0" w:space="0" w:color="auto"/>
                    <w:left w:val="none" w:sz="0" w:space="0" w:color="auto"/>
                    <w:bottom w:val="none" w:sz="0" w:space="0" w:color="auto"/>
                    <w:right w:val="none" w:sz="0" w:space="0" w:color="auto"/>
                  </w:divBdr>
                </w:div>
                <w:div w:id="917129079">
                  <w:marLeft w:val="0"/>
                  <w:marRight w:val="0"/>
                  <w:marTop w:val="0"/>
                  <w:marBottom w:val="0"/>
                  <w:divBdr>
                    <w:top w:val="none" w:sz="0" w:space="0" w:color="auto"/>
                    <w:left w:val="none" w:sz="0" w:space="0" w:color="auto"/>
                    <w:bottom w:val="none" w:sz="0" w:space="0" w:color="auto"/>
                    <w:right w:val="none" w:sz="0" w:space="0" w:color="auto"/>
                  </w:divBdr>
                </w:div>
                <w:div w:id="1233933748">
                  <w:marLeft w:val="0"/>
                  <w:marRight w:val="0"/>
                  <w:marTop w:val="0"/>
                  <w:marBottom w:val="0"/>
                  <w:divBdr>
                    <w:top w:val="none" w:sz="0" w:space="0" w:color="auto"/>
                    <w:left w:val="none" w:sz="0" w:space="0" w:color="auto"/>
                    <w:bottom w:val="none" w:sz="0" w:space="0" w:color="auto"/>
                    <w:right w:val="none" w:sz="0" w:space="0" w:color="auto"/>
                  </w:divBdr>
                </w:div>
                <w:div w:id="69232879">
                  <w:marLeft w:val="0"/>
                  <w:marRight w:val="0"/>
                  <w:marTop w:val="0"/>
                  <w:marBottom w:val="0"/>
                  <w:divBdr>
                    <w:top w:val="none" w:sz="0" w:space="0" w:color="auto"/>
                    <w:left w:val="none" w:sz="0" w:space="0" w:color="auto"/>
                    <w:bottom w:val="none" w:sz="0" w:space="0" w:color="auto"/>
                    <w:right w:val="none" w:sz="0" w:space="0" w:color="auto"/>
                  </w:divBdr>
                </w:div>
                <w:div w:id="1163085118">
                  <w:marLeft w:val="0"/>
                  <w:marRight w:val="0"/>
                  <w:marTop w:val="0"/>
                  <w:marBottom w:val="0"/>
                  <w:divBdr>
                    <w:top w:val="none" w:sz="0" w:space="0" w:color="auto"/>
                    <w:left w:val="none" w:sz="0" w:space="0" w:color="auto"/>
                    <w:bottom w:val="none" w:sz="0" w:space="0" w:color="auto"/>
                    <w:right w:val="none" w:sz="0" w:space="0" w:color="auto"/>
                  </w:divBdr>
                </w:div>
                <w:div w:id="1986349403">
                  <w:marLeft w:val="0"/>
                  <w:marRight w:val="0"/>
                  <w:marTop w:val="0"/>
                  <w:marBottom w:val="0"/>
                  <w:divBdr>
                    <w:top w:val="none" w:sz="0" w:space="0" w:color="auto"/>
                    <w:left w:val="none" w:sz="0" w:space="0" w:color="auto"/>
                    <w:bottom w:val="none" w:sz="0" w:space="0" w:color="auto"/>
                    <w:right w:val="none" w:sz="0" w:space="0" w:color="auto"/>
                  </w:divBdr>
                </w:div>
                <w:div w:id="1097867769">
                  <w:marLeft w:val="0"/>
                  <w:marRight w:val="0"/>
                  <w:marTop w:val="0"/>
                  <w:marBottom w:val="0"/>
                  <w:divBdr>
                    <w:top w:val="none" w:sz="0" w:space="0" w:color="auto"/>
                    <w:left w:val="none" w:sz="0" w:space="0" w:color="auto"/>
                    <w:bottom w:val="none" w:sz="0" w:space="0" w:color="auto"/>
                    <w:right w:val="none" w:sz="0" w:space="0" w:color="auto"/>
                  </w:divBdr>
                </w:div>
                <w:div w:id="1330908892">
                  <w:marLeft w:val="0"/>
                  <w:marRight w:val="0"/>
                  <w:marTop w:val="0"/>
                  <w:marBottom w:val="0"/>
                  <w:divBdr>
                    <w:top w:val="none" w:sz="0" w:space="0" w:color="auto"/>
                    <w:left w:val="none" w:sz="0" w:space="0" w:color="auto"/>
                    <w:bottom w:val="none" w:sz="0" w:space="0" w:color="auto"/>
                    <w:right w:val="none" w:sz="0" w:space="0" w:color="auto"/>
                  </w:divBdr>
                </w:div>
                <w:div w:id="510992625">
                  <w:marLeft w:val="0"/>
                  <w:marRight w:val="0"/>
                  <w:marTop w:val="0"/>
                  <w:marBottom w:val="0"/>
                  <w:divBdr>
                    <w:top w:val="none" w:sz="0" w:space="0" w:color="auto"/>
                    <w:left w:val="none" w:sz="0" w:space="0" w:color="auto"/>
                    <w:bottom w:val="none" w:sz="0" w:space="0" w:color="auto"/>
                    <w:right w:val="none" w:sz="0" w:space="0" w:color="auto"/>
                  </w:divBdr>
                </w:div>
                <w:div w:id="1447887359">
                  <w:marLeft w:val="0"/>
                  <w:marRight w:val="0"/>
                  <w:marTop w:val="0"/>
                  <w:marBottom w:val="0"/>
                  <w:divBdr>
                    <w:top w:val="none" w:sz="0" w:space="0" w:color="auto"/>
                    <w:left w:val="none" w:sz="0" w:space="0" w:color="auto"/>
                    <w:bottom w:val="none" w:sz="0" w:space="0" w:color="auto"/>
                    <w:right w:val="none" w:sz="0" w:space="0" w:color="auto"/>
                  </w:divBdr>
                </w:div>
                <w:div w:id="513417294">
                  <w:marLeft w:val="0"/>
                  <w:marRight w:val="0"/>
                  <w:marTop w:val="0"/>
                  <w:marBottom w:val="0"/>
                  <w:divBdr>
                    <w:top w:val="none" w:sz="0" w:space="0" w:color="auto"/>
                    <w:left w:val="none" w:sz="0" w:space="0" w:color="auto"/>
                    <w:bottom w:val="none" w:sz="0" w:space="0" w:color="auto"/>
                    <w:right w:val="none" w:sz="0" w:space="0" w:color="auto"/>
                  </w:divBdr>
                </w:div>
                <w:div w:id="1320771189">
                  <w:marLeft w:val="0"/>
                  <w:marRight w:val="0"/>
                  <w:marTop w:val="0"/>
                  <w:marBottom w:val="0"/>
                  <w:divBdr>
                    <w:top w:val="none" w:sz="0" w:space="0" w:color="auto"/>
                    <w:left w:val="none" w:sz="0" w:space="0" w:color="auto"/>
                    <w:bottom w:val="none" w:sz="0" w:space="0" w:color="auto"/>
                    <w:right w:val="none" w:sz="0" w:space="0" w:color="auto"/>
                  </w:divBdr>
                </w:div>
                <w:div w:id="1551263559">
                  <w:marLeft w:val="0"/>
                  <w:marRight w:val="0"/>
                  <w:marTop w:val="0"/>
                  <w:marBottom w:val="0"/>
                  <w:divBdr>
                    <w:top w:val="none" w:sz="0" w:space="0" w:color="auto"/>
                    <w:left w:val="none" w:sz="0" w:space="0" w:color="auto"/>
                    <w:bottom w:val="none" w:sz="0" w:space="0" w:color="auto"/>
                    <w:right w:val="none" w:sz="0" w:space="0" w:color="auto"/>
                  </w:divBdr>
                </w:div>
                <w:div w:id="830566494">
                  <w:marLeft w:val="0"/>
                  <w:marRight w:val="0"/>
                  <w:marTop w:val="0"/>
                  <w:marBottom w:val="0"/>
                  <w:divBdr>
                    <w:top w:val="none" w:sz="0" w:space="0" w:color="auto"/>
                    <w:left w:val="none" w:sz="0" w:space="0" w:color="auto"/>
                    <w:bottom w:val="none" w:sz="0" w:space="0" w:color="auto"/>
                    <w:right w:val="none" w:sz="0" w:space="0" w:color="auto"/>
                  </w:divBdr>
                </w:div>
                <w:div w:id="1628198563">
                  <w:marLeft w:val="0"/>
                  <w:marRight w:val="0"/>
                  <w:marTop w:val="0"/>
                  <w:marBottom w:val="0"/>
                  <w:divBdr>
                    <w:top w:val="none" w:sz="0" w:space="0" w:color="auto"/>
                    <w:left w:val="none" w:sz="0" w:space="0" w:color="auto"/>
                    <w:bottom w:val="none" w:sz="0" w:space="0" w:color="auto"/>
                    <w:right w:val="none" w:sz="0" w:space="0" w:color="auto"/>
                  </w:divBdr>
                </w:div>
                <w:div w:id="1045331064">
                  <w:marLeft w:val="0"/>
                  <w:marRight w:val="0"/>
                  <w:marTop w:val="0"/>
                  <w:marBottom w:val="0"/>
                  <w:divBdr>
                    <w:top w:val="none" w:sz="0" w:space="0" w:color="auto"/>
                    <w:left w:val="none" w:sz="0" w:space="0" w:color="auto"/>
                    <w:bottom w:val="none" w:sz="0" w:space="0" w:color="auto"/>
                    <w:right w:val="none" w:sz="0" w:space="0" w:color="auto"/>
                  </w:divBdr>
                </w:div>
                <w:div w:id="1146239301">
                  <w:marLeft w:val="0"/>
                  <w:marRight w:val="0"/>
                  <w:marTop w:val="0"/>
                  <w:marBottom w:val="0"/>
                  <w:divBdr>
                    <w:top w:val="none" w:sz="0" w:space="0" w:color="auto"/>
                    <w:left w:val="none" w:sz="0" w:space="0" w:color="auto"/>
                    <w:bottom w:val="none" w:sz="0" w:space="0" w:color="auto"/>
                    <w:right w:val="none" w:sz="0" w:space="0" w:color="auto"/>
                  </w:divBdr>
                </w:div>
                <w:div w:id="478151688">
                  <w:marLeft w:val="0"/>
                  <w:marRight w:val="0"/>
                  <w:marTop w:val="0"/>
                  <w:marBottom w:val="0"/>
                  <w:divBdr>
                    <w:top w:val="none" w:sz="0" w:space="0" w:color="auto"/>
                    <w:left w:val="none" w:sz="0" w:space="0" w:color="auto"/>
                    <w:bottom w:val="none" w:sz="0" w:space="0" w:color="auto"/>
                    <w:right w:val="none" w:sz="0" w:space="0" w:color="auto"/>
                  </w:divBdr>
                </w:div>
                <w:div w:id="682899613">
                  <w:marLeft w:val="0"/>
                  <w:marRight w:val="0"/>
                  <w:marTop w:val="0"/>
                  <w:marBottom w:val="0"/>
                  <w:divBdr>
                    <w:top w:val="none" w:sz="0" w:space="0" w:color="auto"/>
                    <w:left w:val="none" w:sz="0" w:space="0" w:color="auto"/>
                    <w:bottom w:val="none" w:sz="0" w:space="0" w:color="auto"/>
                    <w:right w:val="none" w:sz="0" w:space="0" w:color="auto"/>
                  </w:divBdr>
                </w:div>
                <w:div w:id="1906717465">
                  <w:marLeft w:val="0"/>
                  <w:marRight w:val="0"/>
                  <w:marTop w:val="0"/>
                  <w:marBottom w:val="0"/>
                  <w:divBdr>
                    <w:top w:val="none" w:sz="0" w:space="0" w:color="auto"/>
                    <w:left w:val="none" w:sz="0" w:space="0" w:color="auto"/>
                    <w:bottom w:val="none" w:sz="0" w:space="0" w:color="auto"/>
                    <w:right w:val="none" w:sz="0" w:space="0" w:color="auto"/>
                  </w:divBdr>
                </w:div>
                <w:div w:id="1285119004">
                  <w:marLeft w:val="0"/>
                  <w:marRight w:val="0"/>
                  <w:marTop w:val="0"/>
                  <w:marBottom w:val="0"/>
                  <w:divBdr>
                    <w:top w:val="none" w:sz="0" w:space="0" w:color="auto"/>
                    <w:left w:val="none" w:sz="0" w:space="0" w:color="auto"/>
                    <w:bottom w:val="none" w:sz="0" w:space="0" w:color="auto"/>
                    <w:right w:val="none" w:sz="0" w:space="0" w:color="auto"/>
                  </w:divBdr>
                </w:div>
                <w:div w:id="911279131">
                  <w:marLeft w:val="0"/>
                  <w:marRight w:val="0"/>
                  <w:marTop w:val="0"/>
                  <w:marBottom w:val="0"/>
                  <w:divBdr>
                    <w:top w:val="none" w:sz="0" w:space="0" w:color="auto"/>
                    <w:left w:val="none" w:sz="0" w:space="0" w:color="auto"/>
                    <w:bottom w:val="none" w:sz="0" w:space="0" w:color="auto"/>
                    <w:right w:val="none" w:sz="0" w:space="0" w:color="auto"/>
                  </w:divBdr>
                </w:div>
                <w:div w:id="431559211">
                  <w:marLeft w:val="0"/>
                  <w:marRight w:val="0"/>
                  <w:marTop w:val="0"/>
                  <w:marBottom w:val="0"/>
                  <w:divBdr>
                    <w:top w:val="none" w:sz="0" w:space="0" w:color="auto"/>
                    <w:left w:val="none" w:sz="0" w:space="0" w:color="auto"/>
                    <w:bottom w:val="none" w:sz="0" w:space="0" w:color="auto"/>
                    <w:right w:val="none" w:sz="0" w:space="0" w:color="auto"/>
                  </w:divBdr>
                </w:div>
                <w:div w:id="243228622">
                  <w:marLeft w:val="0"/>
                  <w:marRight w:val="0"/>
                  <w:marTop w:val="0"/>
                  <w:marBottom w:val="0"/>
                  <w:divBdr>
                    <w:top w:val="none" w:sz="0" w:space="0" w:color="auto"/>
                    <w:left w:val="none" w:sz="0" w:space="0" w:color="auto"/>
                    <w:bottom w:val="none" w:sz="0" w:space="0" w:color="auto"/>
                    <w:right w:val="none" w:sz="0" w:space="0" w:color="auto"/>
                  </w:divBdr>
                </w:div>
                <w:div w:id="2020310788">
                  <w:marLeft w:val="0"/>
                  <w:marRight w:val="0"/>
                  <w:marTop w:val="0"/>
                  <w:marBottom w:val="0"/>
                  <w:divBdr>
                    <w:top w:val="none" w:sz="0" w:space="0" w:color="auto"/>
                    <w:left w:val="none" w:sz="0" w:space="0" w:color="auto"/>
                    <w:bottom w:val="none" w:sz="0" w:space="0" w:color="auto"/>
                    <w:right w:val="none" w:sz="0" w:space="0" w:color="auto"/>
                  </w:divBdr>
                </w:div>
                <w:div w:id="1714423270">
                  <w:marLeft w:val="0"/>
                  <w:marRight w:val="0"/>
                  <w:marTop w:val="0"/>
                  <w:marBottom w:val="0"/>
                  <w:divBdr>
                    <w:top w:val="none" w:sz="0" w:space="0" w:color="auto"/>
                    <w:left w:val="none" w:sz="0" w:space="0" w:color="auto"/>
                    <w:bottom w:val="none" w:sz="0" w:space="0" w:color="auto"/>
                    <w:right w:val="none" w:sz="0" w:space="0" w:color="auto"/>
                  </w:divBdr>
                </w:div>
                <w:div w:id="1441796018">
                  <w:marLeft w:val="0"/>
                  <w:marRight w:val="0"/>
                  <w:marTop w:val="0"/>
                  <w:marBottom w:val="0"/>
                  <w:divBdr>
                    <w:top w:val="none" w:sz="0" w:space="0" w:color="auto"/>
                    <w:left w:val="none" w:sz="0" w:space="0" w:color="auto"/>
                    <w:bottom w:val="none" w:sz="0" w:space="0" w:color="auto"/>
                    <w:right w:val="none" w:sz="0" w:space="0" w:color="auto"/>
                  </w:divBdr>
                </w:div>
                <w:div w:id="801768907">
                  <w:marLeft w:val="0"/>
                  <w:marRight w:val="0"/>
                  <w:marTop w:val="0"/>
                  <w:marBottom w:val="0"/>
                  <w:divBdr>
                    <w:top w:val="none" w:sz="0" w:space="0" w:color="auto"/>
                    <w:left w:val="none" w:sz="0" w:space="0" w:color="auto"/>
                    <w:bottom w:val="none" w:sz="0" w:space="0" w:color="auto"/>
                    <w:right w:val="none" w:sz="0" w:space="0" w:color="auto"/>
                  </w:divBdr>
                </w:div>
                <w:div w:id="1003701069">
                  <w:marLeft w:val="0"/>
                  <w:marRight w:val="0"/>
                  <w:marTop w:val="0"/>
                  <w:marBottom w:val="0"/>
                  <w:divBdr>
                    <w:top w:val="none" w:sz="0" w:space="0" w:color="auto"/>
                    <w:left w:val="none" w:sz="0" w:space="0" w:color="auto"/>
                    <w:bottom w:val="none" w:sz="0" w:space="0" w:color="auto"/>
                    <w:right w:val="none" w:sz="0" w:space="0" w:color="auto"/>
                  </w:divBdr>
                </w:div>
                <w:div w:id="2012291926">
                  <w:marLeft w:val="0"/>
                  <w:marRight w:val="0"/>
                  <w:marTop w:val="0"/>
                  <w:marBottom w:val="0"/>
                  <w:divBdr>
                    <w:top w:val="none" w:sz="0" w:space="0" w:color="auto"/>
                    <w:left w:val="none" w:sz="0" w:space="0" w:color="auto"/>
                    <w:bottom w:val="none" w:sz="0" w:space="0" w:color="auto"/>
                    <w:right w:val="none" w:sz="0" w:space="0" w:color="auto"/>
                  </w:divBdr>
                </w:div>
                <w:div w:id="575818368">
                  <w:marLeft w:val="0"/>
                  <w:marRight w:val="0"/>
                  <w:marTop w:val="0"/>
                  <w:marBottom w:val="0"/>
                  <w:divBdr>
                    <w:top w:val="none" w:sz="0" w:space="0" w:color="auto"/>
                    <w:left w:val="none" w:sz="0" w:space="0" w:color="auto"/>
                    <w:bottom w:val="none" w:sz="0" w:space="0" w:color="auto"/>
                    <w:right w:val="none" w:sz="0" w:space="0" w:color="auto"/>
                  </w:divBdr>
                </w:div>
                <w:div w:id="889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mailto:books@almaaref.org.lb"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C8CA6-C099-493B-A909-648B9828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54</Pages>
  <Words>5454</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18</cp:revision>
  <dcterms:created xsi:type="dcterms:W3CDTF">2023-06-07T08:19:00Z</dcterms:created>
  <dcterms:modified xsi:type="dcterms:W3CDTF">2023-08-24T12:52:00Z</dcterms:modified>
</cp:coreProperties>
</file>