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9BB" w:rsidRDefault="001609BB" w:rsidP="001609BB">
      <w:pPr>
        <w:bidi/>
        <w:spacing w:after="0" w:line="240" w:lineRule="auto"/>
        <w:jc w:val="center"/>
        <w:rPr>
          <w:rFonts w:ascii="Adobe Arabic" w:eastAsia="Times New Roman" w:hAnsi="Adobe Arabic" w:cs="Adobe Arabic"/>
          <w:b/>
          <w:bCs/>
          <w:color w:val="996633"/>
          <w:sz w:val="144"/>
          <w:szCs w:val="144"/>
          <w:rtl/>
        </w:rPr>
      </w:pPr>
    </w:p>
    <w:p w:rsidR="001609BB" w:rsidRDefault="001609BB" w:rsidP="001609BB">
      <w:pPr>
        <w:bidi/>
        <w:spacing w:after="0" w:line="240" w:lineRule="auto"/>
        <w:jc w:val="center"/>
        <w:rPr>
          <w:rFonts w:ascii="Adobe Arabic" w:eastAsia="Times New Roman" w:hAnsi="Adobe Arabic" w:cs="Adobe Arabic"/>
          <w:b/>
          <w:bCs/>
          <w:color w:val="996633"/>
          <w:sz w:val="144"/>
          <w:szCs w:val="144"/>
          <w:rtl/>
        </w:rPr>
      </w:pPr>
    </w:p>
    <w:p w:rsidR="001609BB" w:rsidRPr="001609BB" w:rsidRDefault="00BD4C4D" w:rsidP="001609BB">
      <w:pPr>
        <w:bidi/>
        <w:spacing w:after="0" w:line="240" w:lineRule="auto"/>
        <w:jc w:val="center"/>
        <w:rPr>
          <w:rFonts w:ascii="Adobe Arabic" w:eastAsia="Times New Roman" w:hAnsi="Adobe Arabic" w:cs="Adobe Arabic"/>
          <w:b/>
          <w:bCs/>
          <w:color w:val="996633"/>
          <w:sz w:val="144"/>
          <w:szCs w:val="144"/>
        </w:rPr>
      </w:pPr>
      <w:r w:rsidRPr="001609BB">
        <w:rPr>
          <w:rFonts w:ascii="Adobe Arabic" w:eastAsia="Times New Roman" w:hAnsi="Adobe Arabic" w:cs="Adobe Arabic"/>
          <w:b/>
          <w:bCs/>
          <w:color w:val="996633"/>
          <w:sz w:val="144"/>
          <w:szCs w:val="144"/>
          <w:rtl/>
        </w:rPr>
        <w:t>دروس في</w:t>
      </w:r>
      <w:r w:rsidRPr="001609BB">
        <w:rPr>
          <w:rFonts w:ascii="Adobe Arabic" w:eastAsia="Times New Roman" w:hAnsi="Adobe Arabic" w:cs="Adobe Arabic"/>
          <w:b/>
          <w:bCs/>
          <w:color w:val="996633"/>
          <w:sz w:val="144"/>
          <w:szCs w:val="144"/>
        </w:rPr>
        <w:t xml:space="preserve"> </w:t>
      </w:r>
      <w:r w:rsidRPr="001609BB">
        <w:rPr>
          <w:rFonts w:ascii="Adobe Arabic" w:eastAsia="Times New Roman" w:hAnsi="Adobe Arabic" w:cs="Adobe Arabic"/>
          <w:b/>
          <w:bCs/>
          <w:color w:val="996633"/>
          <w:sz w:val="144"/>
          <w:szCs w:val="144"/>
          <w:rtl/>
        </w:rPr>
        <w:t>العلاقة بين</w:t>
      </w:r>
    </w:p>
    <w:p w:rsidR="001609BB" w:rsidRPr="001609BB" w:rsidRDefault="00BD4C4D" w:rsidP="001609BB">
      <w:pPr>
        <w:bidi/>
        <w:spacing w:after="0" w:line="240" w:lineRule="auto"/>
        <w:jc w:val="center"/>
        <w:rPr>
          <w:rFonts w:ascii="Adobe Arabic" w:eastAsia="Times New Roman" w:hAnsi="Adobe Arabic" w:cs="Adobe Arabic"/>
          <w:b/>
          <w:bCs/>
          <w:color w:val="000000"/>
          <w:sz w:val="144"/>
          <w:szCs w:val="144"/>
          <w:rtl/>
        </w:rPr>
      </w:pPr>
      <w:r w:rsidRPr="001609BB">
        <w:rPr>
          <w:rFonts w:ascii="Adobe Arabic" w:eastAsia="Times New Roman" w:hAnsi="Adobe Arabic" w:cs="Adobe Arabic"/>
          <w:b/>
          <w:bCs/>
          <w:color w:val="538135" w:themeColor="accent6" w:themeShade="BF"/>
          <w:sz w:val="144"/>
          <w:szCs w:val="144"/>
          <w:rtl/>
        </w:rPr>
        <w:t xml:space="preserve">القرآن </w:t>
      </w:r>
      <w:r w:rsidRPr="001609BB">
        <w:rPr>
          <w:rFonts w:ascii="Adobe Arabic" w:eastAsia="Times New Roman" w:hAnsi="Adobe Arabic" w:cs="Adobe Arabic"/>
          <w:b/>
          <w:bCs/>
          <w:color w:val="996633"/>
          <w:sz w:val="144"/>
          <w:szCs w:val="144"/>
          <w:rtl/>
        </w:rPr>
        <w:t>و</w:t>
      </w:r>
      <w:r w:rsidRPr="001609BB">
        <w:rPr>
          <w:rFonts w:ascii="Adobe Arabic" w:eastAsia="Times New Roman" w:hAnsi="Adobe Arabic" w:cs="Adobe Arabic"/>
          <w:b/>
          <w:bCs/>
          <w:color w:val="538135" w:themeColor="accent6" w:themeShade="BF"/>
          <w:sz w:val="144"/>
          <w:szCs w:val="144"/>
          <w:rtl/>
        </w:rPr>
        <w:t>السنّة</w:t>
      </w:r>
    </w:p>
    <w:p w:rsidR="001609BB" w:rsidRDefault="001609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Default="00BD4C4D" w:rsidP="001609BB">
      <w:pPr>
        <w:bidi/>
        <w:spacing w:after="0" w:line="240" w:lineRule="auto"/>
        <w:jc w:val="both"/>
        <w:rPr>
          <w:rFonts w:ascii="Adobe Arabic" w:eastAsia="Times New Roman" w:hAnsi="Adobe Arabic" w:cs="Adobe Arabic"/>
          <w:color w:val="000000"/>
          <w:sz w:val="32"/>
          <w:szCs w:val="32"/>
        </w:rPr>
      </w:pPr>
    </w:p>
    <w:p w:rsidR="001609BB" w:rsidRDefault="001609BB" w:rsidP="001609BB">
      <w:pPr>
        <w:bidi/>
        <w:spacing w:after="0" w:line="240" w:lineRule="auto"/>
        <w:jc w:val="both"/>
        <w:rPr>
          <w:rFonts w:ascii="Adobe Arabic" w:eastAsia="Times New Roman" w:hAnsi="Adobe Arabic" w:cs="Adobe Arabic"/>
          <w:color w:val="000000"/>
          <w:sz w:val="32"/>
          <w:szCs w:val="32"/>
        </w:rPr>
      </w:pPr>
    </w:p>
    <w:p w:rsidR="001609BB" w:rsidRDefault="001609BB" w:rsidP="001609BB">
      <w:pPr>
        <w:bidi/>
        <w:spacing w:after="0" w:line="240" w:lineRule="auto"/>
        <w:jc w:val="both"/>
        <w:rPr>
          <w:rFonts w:ascii="Adobe Arabic" w:eastAsia="Times New Roman" w:hAnsi="Adobe Arabic" w:cs="Adobe Arabic"/>
          <w:color w:val="000000"/>
          <w:sz w:val="32"/>
          <w:szCs w:val="32"/>
        </w:rPr>
      </w:pPr>
    </w:p>
    <w:p w:rsidR="001609BB" w:rsidRDefault="001609BB" w:rsidP="001609BB">
      <w:pPr>
        <w:bidi/>
        <w:spacing w:after="0" w:line="240" w:lineRule="auto"/>
        <w:jc w:val="both"/>
        <w:rPr>
          <w:rFonts w:ascii="Adobe Arabic" w:eastAsia="Times New Roman" w:hAnsi="Adobe Arabic" w:cs="Adobe Arabic"/>
          <w:color w:val="000000"/>
          <w:sz w:val="32"/>
          <w:szCs w:val="32"/>
        </w:rPr>
      </w:pPr>
    </w:p>
    <w:p w:rsidR="001609BB" w:rsidRPr="001609BB" w:rsidRDefault="001609BB" w:rsidP="001609BB">
      <w:pPr>
        <w:bidi/>
        <w:spacing w:after="0" w:line="240" w:lineRule="auto"/>
        <w:jc w:val="both"/>
        <w:rPr>
          <w:rFonts w:ascii="Adobe Arabic" w:eastAsia="Times New Roman" w:hAnsi="Adobe Arabic" w:cs="Adobe Arabic"/>
          <w:color w:val="000000"/>
          <w:sz w:val="32"/>
          <w:szCs w:val="32"/>
        </w:rPr>
      </w:pPr>
    </w:p>
    <w:p w:rsidR="00BD4C4D" w:rsidRPr="001609BB" w:rsidRDefault="00BD4C4D" w:rsidP="001609BB">
      <w:pPr>
        <w:spacing w:after="0"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8" name="Rectangle 38" descr="C:\Users\user6\Downloads\Telegram Desktop\%D9%83%D8%AA%D8%A8 %D8%AC%D8%AF%D9%8A%D8%AF%D8%A9\dourous_fi_al_3alaka_ben_lkor2an_wal_sonna-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8D66E" id="Rectangle 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OXbLbYy&#10;AwAAbwYAAA4AAAAAAAAAAAAAAAAALgIAAGRycy9lMm9Eb2MueG1sUEsBAi0AFAAGAAgAAAAhAEyg&#10;6SzYAAAAAwEAAA8AAAAAAAAAAAAAAAAAjAUAAGRycy9kb3ducmV2LnhtbFBLBQYAAAAABAAEAPMA&#10;AACRBgAAAAA=&#10;" filled="f" stroked="f">
                <o:lock v:ext="edit" aspectratio="t"/>
                <w10:anchorlock/>
              </v:rect>
            </w:pict>
          </mc:Fallback>
        </mc:AlternateContent>
      </w:r>
    </w:p>
    <w:tbl>
      <w:tblPr>
        <w:tblpPr w:leftFromText="180" w:rightFromText="180" w:horzAnchor="margin" w:tblpXSpec="center" w:tblpY="412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272"/>
      </w:tblGrid>
      <w:tr w:rsidR="00BD4C4D" w:rsidRPr="001609BB" w:rsidTr="001609BB">
        <w:trPr>
          <w:tblCellSpacing w:w="15" w:type="dxa"/>
        </w:trPr>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r w:rsidRPr="001609BB">
              <w:rPr>
                <w:rFonts w:ascii="Adobe Arabic" w:eastAsia="Times New Roman" w:hAnsi="Adobe Arabic" w:cs="Adobe Arabic"/>
                <w:b/>
                <w:bCs/>
                <w:color w:val="538135" w:themeColor="accent6" w:themeShade="BF"/>
                <w:sz w:val="32"/>
                <w:szCs w:val="32"/>
                <w:rtl/>
              </w:rPr>
              <w:t>الكتاب</w:t>
            </w:r>
            <w:r w:rsidRPr="001609BB">
              <w:rPr>
                <w:rFonts w:ascii="Adobe Arabic" w:eastAsia="Times New Roman" w:hAnsi="Adobe Arabic" w:cs="Adobe Arabic"/>
                <w:b/>
                <w:bCs/>
                <w:color w:val="538135" w:themeColor="accent6" w:themeShade="BF"/>
                <w:sz w:val="32"/>
                <w:szCs w:val="32"/>
              </w:rPr>
              <w:t>:</w:t>
            </w:r>
          </w:p>
        </w:tc>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sz w:val="32"/>
                <w:szCs w:val="32"/>
              </w:rPr>
            </w:pPr>
            <w:r w:rsidRPr="001609BB">
              <w:rPr>
                <w:rFonts w:ascii="Adobe Arabic" w:eastAsia="Times New Roman" w:hAnsi="Adobe Arabic" w:cs="Adobe Arabic"/>
                <w:sz w:val="32"/>
                <w:szCs w:val="32"/>
                <w:rtl/>
              </w:rPr>
              <w:t>دروس في العلاقة بين القرآن والسنّة</w:t>
            </w:r>
          </w:p>
        </w:tc>
      </w:tr>
      <w:tr w:rsidR="00BD4C4D" w:rsidRPr="001609BB" w:rsidTr="001609BB">
        <w:trPr>
          <w:tblCellSpacing w:w="15" w:type="dxa"/>
        </w:trPr>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r w:rsidRPr="001609BB">
              <w:rPr>
                <w:rFonts w:ascii="Adobe Arabic" w:eastAsia="Times New Roman" w:hAnsi="Adobe Arabic" w:cs="Adobe Arabic"/>
                <w:b/>
                <w:bCs/>
                <w:color w:val="538135" w:themeColor="accent6" w:themeShade="BF"/>
                <w:sz w:val="32"/>
                <w:szCs w:val="32"/>
                <w:rtl/>
              </w:rPr>
              <w:t>إعـداد</w:t>
            </w:r>
            <w:r w:rsidRPr="001609BB">
              <w:rPr>
                <w:rFonts w:ascii="Adobe Arabic" w:eastAsia="Times New Roman" w:hAnsi="Adobe Arabic" w:cs="Adobe Arabic"/>
                <w:b/>
                <w:bCs/>
                <w:color w:val="538135" w:themeColor="accent6" w:themeShade="BF"/>
                <w:sz w:val="32"/>
                <w:szCs w:val="32"/>
              </w:rPr>
              <w:t>:</w:t>
            </w:r>
          </w:p>
        </w:tc>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sz w:val="32"/>
                <w:szCs w:val="32"/>
              </w:rPr>
            </w:pPr>
            <w:r w:rsidRPr="001609BB">
              <w:rPr>
                <w:rFonts w:ascii="Adobe Arabic" w:eastAsia="Times New Roman" w:hAnsi="Adobe Arabic" w:cs="Adobe Arabic"/>
                <w:sz w:val="32"/>
                <w:szCs w:val="32"/>
                <w:rtl/>
              </w:rPr>
              <w:t>مركز المعارف للمناهج والمتون التعليمية</w:t>
            </w:r>
          </w:p>
        </w:tc>
      </w:tr>
      <w:tr w:rsidR="00BD4C4D" w:rsidRPr="001609BB" w:rsidTr="001609BB">
        <w:trPr>
          <w:tblCellSpacing w:w="15" w:type="dxa"/>
        </w:trPr>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r w:rsidRPr="001609BB">
              <w:rPr>
                <w:rFonts w:ascii="Adobe Arabic" w:eastAsia="Times New Roman" w:hAnsi="Adobe Arabic" w:cs="Adobe Arabic"/>
                <w:b/>
                <w:bCs/>
                <w:color w:val="538135" w:themeColor="accent6" w:themeShade="BF"/>
                <w:sz w:val="32"/>
                <w:szCs w:val="32"/>
                <w:rtl/>
              </w:rPr>
              <w:t>إصدار</w:t>
            </w:r>
            <w:r w:rsidRPr="001609BB">
              <w:rPr>
                <w:rFonts w:ascii="Adobe Arabic" w:eastAsia="Times New Roman" w:hAnsi="Adobe Arabic" w:cs="Adobe Arabic"/>
                <w:b/>
                <w:bCs/>
                <w:color w:val="538135" w:themeColor="accent6" w:themeShade="BF"/>
                <w:sz w:val="32"/>
                <w:szCs w:val="32"/>
              </w:rPr>
              <w:t>:</w:t>
            </w:r>
          </w:p>
        </w:tc>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sz w:val="32"/>
                <w:szCs w:val="32"/>
              </w:rPr>
            </w:pPr>
            <w:r w:rsidRPr="001609BB">
              <w:rPr>
                <w:rFonts w:ascii="Adobe Arabic" w:eastAsia="Times New Roman" w:hAnsi="Adobe Arabic" w:cs="Adobe Arabic"/>
                <w:sz w:val="32"/>
                <w:szCs w:val="32"/>
                <w:rtl/>
              </w:rPr>
              <w:t>دار المعارف الإسلامية الثقافية</w:t>
            </w:r>
          </w:p>
        </w:tc>
      </w:tr>
      <w:tr w:rsidR="00BD4C4D" w:rsidRPr="001609BB" w:rsidTr="001609BB">
        <w:trPr>
          <w:tblCellSpacing w:w="15" w:type="dxa"/>
        </w:trPr>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r w:rsidRPr="001609BB">
              <w:rPr>
                <w:rFonts w:ascii="Adobe Arabic" w:eastAsia="Times New Roman" w:hAnsi="Adobe Arabic" w:cs="Adobe Arabic"/>
                <w:b/>
                <w:bCs/>
                <w:color w:val="538135" w:themeColor="accent6" w:themeShade="BF"/>
                <w:sz w:val="32"/>
                <w:szCs w:val="32"/>
                <w:rtl/>
              </w:rPr>
              <w:t>تصميم وطباعة</w:t>
            </w:r>
            <w:r w:rsidRPr="001609BB">
              <w:rPr>
                <w:rFonts w:ascii="Adobe Arabic" w:eastAsia="Times New Roman" w:hAnsi="Adobe Arabic" w:cs="Adobe Arabic"/>
                <w:b/>
                <w:bCs/>
                <w:color w:val="538135" w:themeColor="accent6" w:themeShade="BF"/>
                <w:sz w:val="32"/>
                <w:szCs w:val="32"/>
              </w:rPr>
              <w:t>:</w:t>
            </w:r>
          </w:p>
        </w:tc>
        <w:tc>
          <w:tcPr>
            <w:tcW w:w="0" w:type="auto"/>
            <w:vAlign w:val="center"/>
            <w:hideMark/>
          </w:tcPr>
          <w:p w:rsidR="00BD4C4D" w:rsidRPr="001609BB" w:rsidRDefault="001609BB" w:rsidP="001609BB">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BD4C4D" w:rsidRPr="001609BB" w:rsidTr="001609BB">
        <w:trPr>
          <w:tblCellSpacing w:w="15" w:type="dxa"/>
        </w:trPr>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Pr>
            </w:pPr>
            <w:r w:rsidRPr="001609BB">
              <w:rPr>
                <w:rFonts w:ascii="Adobe Arabic" w:eastAsia="Times New Roman" w:hAnsi="Adobe Arabic" w:cs="Adobe Arabic"/>
                <w:b/>
                <w:bCs/>
                <w:color w:val="538135" w:themeColor="accent6" w:themeShade="BF"/>
                <w:sz w:val="32"/>
                <w:szCs w:val="32"/>
                <w:rtl/>
              </w:rPr>
              <w:t>الطبعة</w:t>
            </w:r>
            <w:r w:rsidRPr="001609BB">
              <w:rPr>
                <w:rFonts w:ascii="Adobe Arabic" w:eastAsia="Times New Roman" w:hAnsi="Adobe Arabic" w:cs="Adobe Arabic"/>
                <w:b/>
                <w:bCs/>
                <w:color w:val="538135" w:themeColor="accent6" w:themeShade="BF"/>
                <w:sz w:val="32"/>
                <w:szCs w:val="32"/>
              </w:rPr>
              <w:t>:</w:t>
            </w:r>
          </w:p>
        </w:tc>
        <w:tc>
          <w:tcPr>
            <w:tcW w:w="0" w:type="auto"/>
            <w:vAlign w:val="center"/>
            <w:hideMark/>
          </w:tcPr>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sz w:val="32"/>
                <w:szCs w:val="32"/>
              </w:rPr>
            </w:pPr>
            <w:r w:rsidRPr="001609BB">
              <w:rPr>
                <w:rFonts w:ascii="Adobe Arabic" w:eastAsia="Times New Roman" w:hAnsi="Adobe Arabic" w:cs="Adobe Arabic"/>
                <w:sz w:val="32"/>
                <w:szCs w:val="32"/>
                <w:rtl/>
              </w:rPr>
              <w:t>الأولى</w:t>
            </w:r>
            <w:r w:rsidRPr="001609BB">
              <w:rPr>
                <w:rFonts w:ascii="Adobe Arabic" w:eastAsia="Times New Roman" w:hAnsi="Adobe Arabic" w:cs="Adobe Arabic"/>
                <w:sz w:val="32"/>
                <w:szCs w:val="32"/>
              </w:rPr>
              <w:t> 1444</w:t>
            </w:r>
            <w:r w:rsidRPr="001609BB">
              <w:rPr>
                <w:rFonts w:ascii="Adobe Arabic" w:eastAsia="Times New Roman" w:hAnsi="Adobe Arabic" w:cs="Adobe Arabic"/>
                <w:sz w:val="32"/>
                <w:szCs w:val="32"/>
                <w:rtl/>
              </w:rPr>
              <w:t>هـ</w:t>
            </w:r>
            <w:r w:rsidRPr="001609BB">
              <w:rPr>
                <w:rFonts w:ascii="Adobe Arabic" w:eastAsia="Times New Roman" w:hAnsi="Adobe Arabic" w:cs="Adobe Arabic"/>
                <w:sz w:val="32"/>
                <w:szCs w:val="32"/>
              </w:rPr>
              <w:t> - 2023</w:t>
            </w:r>
            <w:r w:rsidRPr="001609BB">
              <w:rPr>
                <w:rFonts w:ascii="Adobe Arabic" w:eastAsia="Times New Roman" w:hAnsi="Adobe Arabic" w:cs="Adobe Arabic"/>
                <w:sz w:val="32"/>
                <w:szCs w:val="32"/>
                <w:rtl/>
              </w:rPr>
              <w:t>م</w:t>
            </w:r>
          </w:p>
        </w:tc>
      </w:tr>
      <w:tr w:rsidR="00BD4C4D" w:rsidRPr="001609BB" w:rsidTr="001609BB">
        <w:trPr>
          <w:tblCellSpacing w:w="15" w:type="dxa"/>
        </w:trPr>
        <w:tc>
          <w:tcPr>
            <w:tcW w:w="0" w:type="auto"/>
            <w:gridSpan w:val="2"/>
            <w:vAlign w:val="center"/>
            <w:hideMark/>
          </w:tcPr>
          <w:p w:rsidR="00BD4C4D" w:rsidRPr="001609BB" w:rsidRDefault="00BD4C4D" w:rsidP="001609BB">
            <w:pPr>
              <w:spacing w:before="100" w:beforeAutospacing="1" w:after="100" w:afterAutospacing="1" w:line="240" w:lineRule="auto"/>
              <w:jc w:val="center"/>
              <w:rPr>
                <w:rFonts w:ascii="Adobe Arabic" w:eastAsia="Times New Roman" w:hAnsi="Adobe Arabic" w:cs="Adobe Arabic"/>
                <w:sz w:val="32"/>
                <w:szCs w:val="32"/>
              </w:rPr>
            </w:pPr>
            <w:r w:rsidRPr="001609BB">
              <w:rPr>
                <w:rFonts w:ascii="Adobe Arabic" w:eastAsia="Times New Roman" w:hAnsi="Adobe Arabic" w:cs="Adobe Arabic"/>
                <w:sz w:val="32"/>
                <w:szCs w:val="32"/>
              </w:rPr>
              <w:t>ISBN 978-614-467-330-0</w:t>
            </w:r>
          </w:p>
        </w:tc>
      </w:tr>
      <w:tr w:rsidR="00BD4C4D" w:rsidRPr="001609BB" w:rsidTr="001609BB">
        <w:trPr>
          <w:tblCellSpacing w:w="15" w:type="dxa"/>
        </w:trPr>
        <w:tc>
          <w:tcPr>
            <w:tcW w:w="0" w:type="auto"/>
            <w:gridSpan w:val="2"/>
            <w:vAlign w:val="center"/>
            <w:hideMark/>
          </w:tcPr>
          <w:p w:rsidR="00BD4C4D" w:rsidRPr="001609BB" w:rsidRDefault="001C0560" w:rsidP="001609BB">
            <w:pPr>
              <w:spacing w:before="100" w:beforeAutospacing="1" w:after="100" w:afterAutospacing="1" w:line="240" w:lineRule="auto"/>
              <w:jc w:val="center"/>
              <w:rPr>
                <w:rFonts w:ascii="Adobe Arabic" w:eastAsia="Times New Roman" w:hAnsi="Adobe Arabic" w:cs="Adobe Arabic"/>
                <w:sz w:val="32"/>
                <w:szCs w:val="32"/>
              </w:rPr>
            </w:pPr>
            <w:hyperlink r:id="rId7" w:history="1">
              <w:r w:rsidR="001609BB" w:rsidRPr="00096D28">
                <w:rPr>
                  <w:rStyle w:val="Hyperlink"/>
                  <w:rFonts w:ascii="Adobe Arabic" w:eastAsia="Times New Roman" w:hAnsi="Adobe Arabic" w:cs="Adobe Arabic"/>
                  <w:sz w:val="32"/>
                  <w:szCs w:val="32"/>
                </w:rPr>
                <w:t>books@almaaref.org.lb</w:t>
              </w:r>
            </w:hyperlink>
          </w:p>
          <w:p w:rsidR="00BD4C4D" w:rsidRPr="001609BB" w:rsidRDefault="00BD4C4D" w:rsidP="001609BB">
            <w:pPr>
              <w:spacing w:before="100" w:beforeAutospacing="1" w:after="100" w:afterAutospacing="1" w:line="240" w:lineRule="auto"/>
              <w:jc w:val="center"/>
              <w:rPr>
                <w:rFonts w:ascii="Adobe Arabic" w:eastAsia="Times New Roman" w:hAnsi="Adobe Arabic" w:cs="Adobe Arabic"/>
                <w:sz w:val="32"/>
                <w:szCs w:val="32"/>
              </w:rPr>
            </w:pPr>
            <w:r w:rsidRPr="001609BB">
              <w:rPr>
                <w:rFonts w:ascii="Adobe Arabic" w:eastAsia="Times New Roman" w:hAnsi="Adobe Arabic" w:cs="Adobe Arabic"/>
                <w:sz w:val="32"/>
                <w:szCs w:val="32"/>
              </w:rPr>
              <w:t>00961 01 467 547</w:t>
            </w:r>
          </w:p>
          <w:p w:rsidR="00BD4C4D" w:rsidRPr="001609BB" w:rsidRDefault="00BD4C4D" w:rsidP="001609BB">
            <w:pPr>
              <w:spacing w:before="100" w:beforeAutospacing="1" w:after="100" w:afterAutospacing="1" w:line="240" w:lineRule="auto"/>
              <w:jc w:val="center"/>
              <w:rPr>
                <w:rFonts w:ascii="Adobe Arabic" w:eastAsia="Times New Roman" w:hAnsi="Adobe Arabic" w:cs="Adobe Arabic"/>
                <w:sz w:val="32"/>
                <w:szCs w:val="32"/>
              </w:rPr>
            </w:pPr>
            <w:r w:rsidRPr="001609BB">
              <w:rPr>
                <w:rFonts w:ascii="Adobe Arabic" w:eastAsia="Times New Roman" w:hAnsi="Adobe Arabic" w:cs="Adobe Arabic"/>
                <w:sz w:val="32"/>
                <w:szCs w:val="32"/>
              </w:rPr>
              <w:t>00961 76 960 347</w:t>
            </w:r>
          </w:p>
        </w:tc>
      </w:tr>
    </w:tbl>
    <w:p w:rsidR="00BD4C4D" w:rsidRPr="001609BB" w:rsidRDefault="00BD4C4D" w:rsidP="001609BB">
      <w:pPr>
        <w:spacing w:after="0" w:line="240" w:lineRule="auto"/>
        <w:jc w:val="both"/>
        <w:rPr>
          <w:rFonts w:ascii="Adobe Arabic" w:eastAsia="Times New Roman" w:hAnsi="Adobe Arabic" w:cs="Adobe Arabic"/>
          <w:color w:val="000000"/>
          <w:sz w:val="32"/>
          <w:szCs w:val="32"/>
        </w:rPr>
      </w:pPr>
      <w:r w:rsidRPr="001609BB">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6" name="Rectangle 36" descr="C:\Users\user6\Downloads\Telegram Desktop\%D9%83%D8%AA%D8%A8 %D8%AC%D8%AF%D9%8A%D8%AF%D8%A9\dourous_fi_al_3alaka_ben_lkor2an_wal_sonna-web-resources\image\Maaref_Talimia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66DE4F"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6G&#10;3Wc1AwAAcAYAAA4AAAAAAAAAAAAAAAAALgIAAGRycy9lMm9Eb2MueG1sUEsBAi0AFAAGAAgAAAAh&#10;AEyg6SzYAAAAAwEAAA8AAAAAAAAAAAAAAAAAjwUAAGRycy9kb3ducmV2LnhtbFBLBQYAAAAABAAE&#10;APMAAACUBgAAAAA=&#10;" filled="f" stroked="f">
                <o:lock v:ext="edit" aspectratio="t"/>
                <w10:anchorlock/>
              </v:rect>
            </w:pict>
          </mc:Fallback>
        </mc:AlternateContent>
      </w:r>
    </w:p>
    <w:p w:rsidR="001609BB" w:rsidRPr="001609BB" w:rsidRDefault="001609BB" w:rsidP="001609BB">
      <w:pPr>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br w:type="page"/>
      </w:r>
    </w:p>
    <w:p w:rsidR="00F37D66" w:rsidRDefault="00F37D66" w:rsidP="00F37D66">
      <w:pPr>
        <w:bidi/>
        <w:jc w:val="center"/>
        <w:rPr>
          <w:rFonts w:ascii="Adobe Arabic" w:eastAsia="Times New Roman" w:hAnsi="Adobe Arabic" w:cs="Adobe Arabic"/>
          <w:b/>
          <w:bCs/>
          <w:sz w:val="144"/>
          <w:szCs w:val="144"/>
          <w:rtl/>
        </w:rPr>
      </w:pPr>
    </w:p>
    <w:p w:rsidR="00F37D66" w:rsidRDefault="00F37D66" w:rsidP="00F37D66">
      <w:pPr>
        <w:bidi/>
        <w:jc w:val="center"/>
        <w:rPr>
          <w:rFonts w:ascii="Adobe Arabic" w:eastAsia="Times New Roman" w:hAnsi="Adobe Arabic" w:cs="Adobe Arabic"/>
          <w:b/>
          <w:bCs/>
          <w:sz w:val="144"/>
          <w:szCs w:val="144"/>
          <w:rtl/>
        </w:rPr>
      </w:pPr>
    </w:p>
    <w:p w:rsidR="00F37D66" w:rsidRPr="00F37D66" w:rsidRDefault="00F37D66" w:rsidP="00F37D66">
      <w:pPr>
        <w:bidi/>
        <w:jc w:val="center"/>
        <w:rPr>
          <w:rFonts w:ascii="Adobe Arabic" w:eastAsia="Times New Roman" w:hAnsi="Adobe Arabic" w:cs="Adobe Arabic"/>
          <w:b/>
          <w:bCs/>
          <w:sz w:val="144"/>
          <w:szCs w:val="144"/>
        </w:rPr>
      </w:pPr>
      <w:r w:rsidRPr="00F37D66">
        <w:rPr>
          <w:rFonts w:ascii="Adobe Arabic" w:eastAsia="Times New Roman" w:hAnsi="Adobe Arabic" w:cs="Adobe Arabic"/>
          <w:b/>
          <w:bCs/>
          <w:sz w:val="144"/>
          <w:szCs w:val="144"/>
          <w:rtl/>
        </w:rPr>
        <w:t>دروس في</w:t>
      </w:r>
      <w:r w:rsidRPr="00F37D66">
        <w:rPr>
          <w:rFonts w:ascii="Adobe Arabic" w:eastAsia="Times New Roman" w:hAnsi="Adobe Arabic" w:cs="Adobe Arabic"/>
          <w:b/>
          <w:bCs/>
          <w:sz w:val="144"/>
          <w:szCs w:val="144"/>
        </w:rPr>
        <w:t xml:space="preserve"> </w:t>
      </w:r>
      <w:r w:rsidRPr="00F37D66">
        <w:rPr>
          <w:rFonts w:ascii="Adobe Arabic" w:eastAsia="Times New Roman" w:hAnsi="Adobe Arabic" w:cs="Adobe Arabic"/>
          <w:b/>
          <w:bCs/>
          <w:sz w:val="144"/>
          <w:szCs w:val="144"/>
          <w:rtl/>
        </w:rPr>
        <w:t>العلاقة بين</w:t>
      </w:r>
    </w:p>
    <w:p w:rsidR="00F37D66" w:rsidRDefault="00F37D66" w:rsidP="00F37D66">
      <w:pPr>
        <w:bidi/>
        <w:spacing w:after="0" w:line="240" w:lineRule="auto"/>
        <w:jc w:val="center"/>
        <w:rPr>
          <w:rFonts w:ascii="Adobe Arabic" w:eastAsia="Times New Roman" w:hAnsi="Adobe Arabic" w:cs="Adobe Arabic"/>
          <w:b/>
          <w:bCs/>
          <w:sz w:val="144"/>
          <w:szCs w:val="144"/>
          <w:rtl/>
        </w:rPr>
      </w:pPr>
      <w:r w:rsidRPr="00F37D66">
        <w:rPr>
          <w:rFonts w:ascii="Adobe Arabic" w:eastAsia="Times New Roman" w:hAnsi="Adobe Arabic" w:cs="Adobe Arabic"/>
          <w:b/>
          <w:bCs/>
          <w:sz w:val="144"/>
          <w:szCs w:val="144"/>
          <w:rtl/>
        </w:rPr>
        <w:t>القرآن والسنّة</w:t>
      </w:r>
    </w:p>
    <w:p w:rsidR="00F37D66" w:rsidRDefault="00F37D66">
      <w:pPr>
        <w:rPr>
          <w:rFonts w:ascii="Adobe Arabic" w:eastAsia="Times New Roman" w:hAnsi="Adobe Arabic" w:cs="Adobe Arabic"/>
          <w:b/>
          <w:bCs/>
          <w:sz w:val="144"/>
          <w:szCs w:val="144"/>
          <w:rtl/>
        </w:rPr>
      </w:pPr>
      <w:r>
        <w:rPr>
          <w:rFonts w:ascii="Adobe Arabic" w:eastAsia="Times New Roman" w:hAnsi="Adobe Arabic" w:cs="Adobe Arabic"/>
          <w:b/>
          <w:bCs/>
          <w:sz w:val="144"/>
          <w:szCs w:val="144"/>
          <w:rtl/>
        </w:rPr>
        <w:br w:type="page"/>
      </w:r>
    </w:p>
    <w:p w:rsidR="00F37D66" w:rsidRPr="001609BB" w:rsidRDefault="00F37D66" w:rsidP="00F37D66">
      <w:pPr>
        <w:bidi/>
        <w:spacing w:after="0" w:line="240" w:lineRule="auto"/>
        <w:jc w:val="center"/>
        <w:rPr>
          <w:rFonts w:ascii="Adobe Arabic" w:eastAsia="Times New Roman" w:hAnsi="Adobe Arabic" w:cs="Adobe Arabic"/>
          <w:b/>
          <w:bCs/>
          <w:color w:val="000000"/>
          <w:sz w:val="144"/>
          <w:szCs w:val="144"/>
          <w:rtl/>
        </w:rPr>
      </w:pPr>
    </w:p>
    <w:p w:rsidR="00F37D66" w:rsidRDefault="00F37D66">
      <w:pPr>
        <w:rPr>
          <w:rFonts w:ascii="Adobe Arabic" w:eastAsia="Times New Roman" w:hAnsi="Adobe Arabic" w:cs="Adobe Arabic"/>
          <w:b/>
          <w:bCs/>
          <w:color w:val="538135" w:themeColor="accent6" w:themeShade="BF"/>
          <w:sz w:val="40"/>
          <w:szCs w:val="40"/>
          <w:rtl/>
        </w:rPr>
      </w:pPr>
    </w:p>
    <w:p w:rsidR="00BE5EF5" w:rsidRDefault="00830474">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sdt>
      <w:sdtPr>
        <w:rPr>
          <w:rFonts w:asciiTheme="minorHAnsi" w:eastAsiaTheme="minorHAnsi" w:hAnsiTheme="minorHAnsi" w:cstheme="minorBidi"/>
          <w:color w:val="auto"/>
          <w:sz w:val="22"/>
          <w:szCs w:val="22"/>
          <w:rtl/>
        </w:rPr>
        <w:id w:val="-62873033"/>
        <w:docPartObj>
          <w:docPartGallery w:val="Table of Contents"/>
          <w:docPartUnique/>
        </w:docPartObj>
      </w:sdtPr>
      <w:sdtEndPr>
        <w:rPr>
          <w:b/>
          <w:bCs/>
          <w:noProof/>
        </w:rPr>
      </w:sdtEndPr>
      <w:sdtContent>
        <w:p w:rsidR="00BE5EF5" w:rsidRPr="00CA5543" w:rsidRDefault="00CA5543" w:rsidP="00CA5543">
          <w:pPr>
            <w:pStyle w:val="TOCHeading"/>
            <w:bidi/>
            <w:jc w:val="center"/>
            <w:rPr>
              <w:rFonts w:ascii="Adobe Arabic" w:hAnsi="Adobe Arabic" w:cs="Adobe Arabic"/>
              <w:b/>
              <w:bCs/>
              <w:color w:val="538135" w:themeColor="accent6" w:themeShade="BF"/>
              <w:sz w:val="44"/>
              <w:szCs w:val="44"/>
            </w:rPr>
          </w:pPr>
          <w:r w:rsidRPr="00CA5543">
            <w:rPr>
              <w:rFonts w:ascii="Adobe Arabic" w:hAnsi="Adobe Arabic" w:cs="Adobe Arabic" w:hint="cs"/>
              <w:b/>
              <w:bCs/>
              <w:color w:val="538135" w:themeColor="accent6" w:themeShade="BF"/>
              <w:sz w:val="44"/>
              <w:szCs w:val="44"/>
              <w:rtl/>
            </w:rPr>
            <w:t>الف</w:t>
          </w:r>
          <w:bookmarkStart w:id="0" w:name="_GoBack"/>
          <w:bookmarkEnd w:id="0"/>
          <w:r w:rsidRPr="00CA5543">
            <w:rPr>
              <w:rFonts w:ascii="Adobe Arabic" w:hAnsi="Adobe Arabic" w:cs="Adobe Arabic" w:hint="cs"/>
              <w:b/>
              <w:bCs/>
              <w:color w:val="538135" w:themeColor="accent6" w:themeShade="BF"/>
              <w:sz w:val="44"/>
              <w:szCs w:val="44"/>
              <w:rtl/>
            </w:rPr>
            <w:t>هرس</w:t>
          </w:r>
        </w:p>
        <w:p w:rsidR="00BE5EF5" w:rsidRPr="00511F69" w:rsidRDefault="00BE5EF5" w:rsidP="00511F69">
          <w:pPr>
            <w:pStyle w:val="TOC1"/>
            <w:spacing w:line="240" w:lineRule="auto"/>
            <w:rPr>
              <w:sz w:val="28"/>
              <w:szCs w:val="28"/>
            </w:rPr>
          </w:pPr>
          <w:r w:rsidRPr="00CA5543">
            <w:rPr>
              <w:noProof w:val="0"/>
            </w:rPr>
            <w:fldChar w:fldCharType="begin"/>
          </w:r>
          <w:r w:rsidRPr="00CA5543">
            <w:instrText xml:space="preserve"> TOC \o "1-3" \h \z \u </w:instrText>
          </w:r>
          <w:r w:rsidRPr="00CA5543">
            <w:rPr>
              <w:noProof w:val="0"/>
            </w:rPr>
            <w:fldChar w:fldCharType="separate"/>
          </w:r>
          <w:hyperlink w:anchor="_Toc155869497" w:history="1">
            <w:r w:rsidRPr="00511F69">
              <w:rPr>
                <w:rStyle w:val="Hyperlink"/>
                <w:color w:val="538135" w:themeColor="accent6" w:themeShade="BF"/>
                <w:sz w:val="28"/>
                <w:szCs w:val="28"/>
                <w:rtl/>
              </w:rPr>
              <w:t>المقدّمة</w:t>
            </w:r>
            <w:r w:rsidRPr="00511F69">
              <w:rPr>
                <w:webHidden/>
                <w:sz w:val="28"/>
                <w:szCs w:val="28"/>
              </w:rPr>
              <w:tab/>
            </w:r>
            <w:r w:rsidRPr="00511F69">
              <w:rPr>
                <w:webHidden/>
                <w:sz w:val="28"/>
                <w:szCs w:val="28"/>
              </w:rPr>
              <w:fldChar w:fldCharType="begin"/>
            </w:r>
            <w:r w:rsidRPr="00511F69">
              <w:rPr>
                <w:webHidden/>
                <w:sz w:val="28"/>
                <w:szCs w:val="28"/>
              </w:rPr>
              <w:instrText xml:space="preserve"> PAGEREF _Toc155869497 \h </w:instrText>
            </w:r>
            <w:r w:rsidRPr="00511F69">
              <w:rPr>
                <w:webHidden/>
                <w:sz w:val="28"/>
                <w:szCs w:val="28"/>
              </w:rPr>
            </w:r>
            <w:r w:rsidRPr="00511F69">
              <w:rPr>
                <w:webHidden/>
                <w:sz w:val="28"/>
                <w:szCs w:val="28"/>
              </w:rPr>
              <w:fldChar w:fldCharType="separate"/>
            </w:r>
            <w:r w:rsidR="00997844">
              <w:rPr>
                <w:webHidden/>
                <w:sz w:val="28"/>
                <w:szCs w:val="28"/>
                <w:rtl/>
              </w:rPr>
              <w:t>7</w:t>
            </w:r>
            <w:r w:rsidRPr="00511F69">
              <w:rPr>
                <w:webHidden/>
                <w:sz w:val="28"/>
                <w:szCs w:val="28"/>
              </w:rPr>
              <w:fldChar w:fldCharType="end"/>
            </w:r>
          </w:hyperlink>
        </w:p>
        <w:p w:rsidR="00BE5EF5" w:rsidRPr="00511F69" w:rsidRDefault="001C0560" w:rsidP="00511F69">
          <w:pPr>
            <w:pStyle w:val="TOC1"/>
            <w:spacing w:line="240" w:lineRule="auto"/>
            <w:rPr>
              <w:sz w:val="28"/>
              <w:szCs w:val="28"/>
            </w:rPr>
          </w:pPr>
          <w:hyperlink w:anchor="_Toc155869498" w:history="1">
            <w:r w:rsidR="00BE5EF5" w:rsidRPr="00511F69">
              <w:rPr>
                <w:rStyle w:val="Hyperlink"/>
                <w:sz w:val="28"/>
                <w:szCs w:val="28"/>
                <w:rtl/>
              </w:rPr>
              <w:t>الدرس الأوّل: مصطلحات ومبادئ تصوّريّة (القرآن الكريم والسنّة)</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_Toc155869498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9</w:t>
            </w:r>
            <w:r w:rsidR="00BE5EF5" w:rsidRPr="00511F69">
              <w:rPr>
                <w:webHidden/>
                <w:sz w:val="28"/>
                <w:szCs w:val="28"/>
              </w:rPr>
              <w:fldChar w:fldCharType="end"/>
            </w:r>
          </w:hyperlink>
        </w:p>
        <w:p w:rsidR="00BE5EF5" w:rsidRPr="00511F69" w:rsidRDefault="001C0560" w:rsidP="00511F69">
          <w:pPr>
            <w:pStyle w:val="TOC2"/>
            <w:spacing w:line="240" w:lineRule="auto"/>
            <w:rPr>
              <w:rStyle w:val="Hyperlink"/>
            </w:rPr>
          </w:pPr>
          <w:hyperlink w:anchor="_Toc155869499" w:history="1">
            <w:r w:rsidR="00BE5EF5" w:rsidRPr="00511F69">
              <w:rPr>
                <w:rStyle w:val="Hyperlink"/>
                <w:rtl/>
              </w:rPr>
              <w:t>تمهيد</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_Toc155869499 \h </w:instrText>
            </w:r>
            <w:r w:rsidR="00BE5EF5" w:rsidRPr="00511F69">
              <w:rPr>
                <w:rStyle w:val="Hyperlink"/>
                <w:webHidden/>
              </w:rPr>
            </w:r>
            <w:r w:rsidR="00BE5EF5" w:rsidRPr="00511F69">
              <w:rPr>
                <w:rStyle w:val="Hyperlink"/>
                <w:webHidden/>
              </w:rPr>
              <w:fldChar w:fldCharType="separate"/>
            </w:r>
            <w:r w:rsidR="00997844">
              <w:rPr>
                <w:rStyle w:val="Hyperlink"/>
                <w:webHidden/>
                <w:rtl/>
              </w:rPr>
              <w:t>11</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00" w:history="1">
            <w:r w:rsidR="00BE5EF5" w:rsidRPr="00511F69">
              <w:rPr>
                <w:rStyle w:val="Hyperlink"/>
                <w:rtl/>
              </w:rPr>
              <w:t>السنّة في اللغة</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_Toc155869500 \h </w:instrText>
            </w:r>
            <w:r w:rsidR="00BE5EF5" w:rsidRPr="00511F69">
              <w:rPr>
                <w:rStyle w:val="Hyperlink"/>
                <w:webHidden/>
              </w:rPr>
            </w:r>
            <w:r w:rsidR="00BE5EF5" w:rsidRPr="00511F69">
              <w:rPr>
                <w:rStyle w:val="Hyperlink"/>
                <w:webHidden/>
              </w:rPr>
              <w:fldChar w:fldCharType="separate"/>
            </w:r>
            <w:r w:rsidR="00997844">
              <w:rPr>
                <w:rStyle w:val="Hyperlink"/>
                <w:webHidden/>
                <w:rtl/>
              </w:rPr>
              <w:t>11</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01" w:history="1">
            <w:r w:rsidR="00BE5EF5" w:rsidRPr="00511F69">
              <w:rPr>
                <w:rStyle w:val="Hyperlink"/>
                <w:rtl/>
              </w:rPr>
              <w:t>السنّة في القرآن</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_Toc155869501 \h </w:instrText>
            </w:r>
            <w:r w:rsidR="00BE5EF5" w:rsidRPr="00511F69">
              <w:rPr>
                <w:rStyle w:val="Hyperlink"/>
                <w:webHidden/>
              </w:rPr>
            </w:r>
            <w:r w:rsidR="00BE5EF5" w:rsidRPr="00511F69">
              <w:rPr>
                <w:rStyle w:val="Hyperlink"/>
                <w:webHidden/>
              </w:rPr>
              <w:fldChar w:fldCharType="separate"/>
            </w:r>
            <w:r w:rsidR="00997844">
              <w:rPr>
                <w:rStyle w:val="Hyperlink"/>
                <w:webHidden/>
                <w:rtl/>
              </w:rPr>
              <w:t>12</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02" w:history="1">
            <w:r w:rsidR="00BE5EF5" w:rsidRPr="00511F69">
              <w:rPr>
                <w:rStyle w:val="Hyperlink"/>
                <w:rtl/>
              </w:rPr>
              <w:t>السنّة في الاصطلاح الأصوليّ</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_Toc155869502 \h </w:instrText>
            </w:r>
            <w:r w:rsidR="00BE5EF5" w:rsidRPr="00511F69">
              <w:rPr>
                <w:rStyle w:val="Hyperlink"/>
                <w:webHidden/>
              </w:rPr>
            </w:r>
            <w:r w:rsidR="00BE5EF5" w:rsidRPr="00511F69">
              <w:rPr>
                <w:rStyle w:val="Hyperlink"/>
                <w:webHidden/>
              </w:rPr>
              <w:fldChar w:fldCharType="separate"/>
            </w:r>
            <w:r w:rsidR="00997844">
              <w:rPr>
                <w:rStyle w:val="Hyperlink"/>
                <w:webHidden/>
                <w:rtl/>
              </w:rPr>
              <w:t>14</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03" w:history="1">
            <w:r w:rsidR="00BE5EF5" w:rsidRPr="00511F69">
              <w:rPr>
                <w:rStyle w:val="Hyperlink"/>
                <w:rtl/>
              </w:rPr>
              <w:t>السنّة في الاستعمال الفقهيّ</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_Toc155869503 \h </w:instrText>
            </w:r>
            <w:r w:rsidR="00BE5EF5" w:rsidRPr="00511F69">
              <w:rPr>
                <w:rStyle w:val="Hyperlink"/>
                <w:webHidden/>
              </w:rPr>
            </w:r>
            <w:r w:rsidR="00BE5EF5" w:rsidRPr="00511F69">
              <w:rPr>
                <w:rStyle w:val="Hyperlink"/>
                <w:webHidden/>
              </w:rPr>
              <w:fldChar w:fldCharType="separate"/>
            </w:r>
            <w:r w:rsidR="00997844">
              <w:rPr>
                <w:rStyle w:val="Hyperlink"/>
                <w:webHidden/>
                <w:rtl/>
              </w:rPr>
              <w:t>15</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04" w:history="1">
            <w:r w:rsidR="00BE5EF5" w:rsidRPr="00511F69">
              <w:rPr>
                <w:rStyle w:val="Hyperlink"/>
                <w:rtl/>
              </w:rPr>
              <w:t>القرآن الكريم</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_Toc155869504 \h </w:instrText>
            </w:r>
            <w:r w:rsidR="00BE5EF5" w:rsidRPr="00511F69">
              <w:rPr>
                <w:rStyle w:val="Hyperlink"/>
                <w:webHidden/>
              </w:rPr>
            </w:r>
            <w:r w:rsidR="00BE5EF5" w:rsidRPr="00511F69">
              <w:rPr>
                <w:rStyle w:val="Hyperlink"/>
                <w:webHidden/>
              </w:rPr>
              <w:fldChar w:fldCharType="separate"/>
            </w:r>
            <w:r w:rsidR="00997844">
              <w:rPr>
                <w:rStyle w:val="Hyperlink"/>
                <w:webHidden/>
                <w:rtl/>
              </w:rPr>
              <w:t>16</w:t>
            </w:r>
            <w:r w:rsidR="00BE5EF5" w:rsidRPr="00511F69">
              <w:rPr>
                <w:rStyle w:val="Hyperlink"/>
                <w:webHidden/>
              </w:rPr>
              <w:fldChar w:fldCharType="end"/>
            </w:r>
          </w:hyperlink>
        </w:p>
        <w:p w:rsidR="00BE5EF5" w:rsidRPr="00511F69" w:rsidRDefault="001C0560" w:rsidP="00511F69">
          <w:pPr>
            <w:pStyle w:val="TOC1"/>
            <w:spacing w:line="240" w:lineRule="auto"/>
            <w:rPr>
              <w:sz w:val="28"/>
              <w:szCs w:val="28"/>
            </w:rPr>
          </w:pPr>
          <w:hyperlink w:anchor="_Toc155869505" w:history="1">
            <w:r w:rsidR="00BE5EF5" w:rsidRPr="00511F69">
              <w:rPr>
                <w:rStyle w:val="Hyperlink"/>
                <w:sz w:val="28"/>
                <w:szCs w:val="28"/>
                <w:rtl/>
              </w:rPr>
              <w:t>الدرس الثاني: حجّيّة القرآن الكريم 1 (المحكم والمتشابه)</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_Toc155869505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19</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06" w:history="1">
            <w:r w:rsidR="00BE5EF5" w:rsidRPr="00511F69">
              <w:rPr>
                <w:rStyle w:val="Hyperlink"/>
                <w:rtl/>
              </w:rPr>
              <w:t>تمهيد</w:t>
            </w:r>
            <w:r w:rsidR="00BE5EF5" w:rsidRPr="00511F69">
              <w:rPr>
                <w:webHidden/>
              </w:rPr>
              <w:tab/>
            </w:r>
            <w:r w:rsidR="00BE5EF5" w:rsidRPr="00511F69">
              <w:rPr>
                <w:webHidden/>
              </w:rPr>
              <w:fldChar w:fldCharType="begin"/>
            </w:r>
            <w:r w:rsidR="00BE5EF5" w:rsidRPr="00511F69">
              <w:rPr>
                <w:webHidden/>
              </w:rPr>
              <w:instrText xml:space="preserve"> PAGEREF _Toc155869506 \h </w:instrText>
            </w:r>
            <w:r w:rsidR="00BE5EF5" w:rsidRPr="00511F69">
              <w:rPr>
                <w:webHidden/>
              </w:rPr>
            </w:r>
            <w:r w:rsidR="00BE5EF5" w:rsidRPr="00511F69">
              <w:rPr>
                <w:webHidden/>
              </w:rPr>
              <w:fldChar w:fldCharType="separate"/>
            </w:r>
            <w:r w:rsidR="00997844">
              <w:rPr>
                <w:webHidden/>
                <w:rtl/>
              </w:rPr>
              <w:t>21</w:t>
            </w:r>
            <w:r w:rsidR="00BE5EF5" w:rsidRPr="00511F69">
              <w:rPr>
                <w:webHidden/>
              </w:rPr>
              <w:fldChar w:fldCharType="end"/>
            </w:r>
          </w:hyperlink>
        </w:p>
        <w:p w:rsidR="00BE5EF5" w:rsidRPr="00511F69" w:rsidRDefault="001C0560" w:rsidP="00511F69">
          <w:pPr>
            <w:pStyle w:val="TOC2"/>
            <w:spacing w:line="240" w:lineRule="auto"/>
          </w:pPr>
          <w:hyperlink w:anchor="_Toc155869507" w:history="1">
            <w:r w:rsidR="00BE5EF5" w:rsidRPr="00511F69">
              <w:rPr>
                <w:rStyle w:val="Hyperlink"/>
                <w:rtl/>
              </w:rPr>
              <w:t>معاني الحجّيّة</w:t>
            </w:r>
            <w:r w:rsidR="00BE5EF5" w:rsidRPr="00511F69">
              <w:rPr>
                <w:webHidden/>
              </w:rPr>
              <w:tab/>
            </w:r>
            <w:r w:rsidR="00BE5EF5" w:rsidRPr="00511F69">
              <w:rPr>
                <w:webHidden/>
              </w:rPr>
              <w:fldChar w:fldCharType="begin"/>
            </w:r>
            <w:r w:rsidR="00BE5EF5" w:rsidRPr="00511F69">
              <w:rPr>
                <w:webHidden/>
              </w:rPr>
              <w:instrText xml:space="preserve"> PAGEREF _Toc155869507 \h </w:instrText>
            </w:r>
            <w:r w:rsidR="00BE5EF5" w:rsidRPr="00511F69">
              <w:rPr>
                <w:webHidden/>
              </w:rPr>
            </w:r>
            <w:r w:rsidR="00BE5EF5" w:rsidRPr="00511F69">
              <w:rPr>
                <w:webHidden/>
              </w:rPr>
              <w:fldChar w:fldCharType="separate"/>
            </w:r>
            <w:r w:rsidR="00997844">
              <w:rPr>
                <w:webHidden/>
                <w:rtl/>
              </w:rPr>
              <w:t>21</w:t>
            </w:r>
            <w:r w:rsidR="00BE5EF5" w:rsidRPr="00511F69">
              <w:rPr>
                <w:webHidden/>
              </w:rPr>
              <w:fldChar w:fldCharType="end"/>
            </w:r>
          </w:hyperlink>
        </w:p>
        <w:p w:rsidR="00BE5EF5" w:rsidRPr="00511F69" w:rsidRDefault="001C0560" w:rsidP="00511F69">
          <w:pPr>
            <w:pStyle w:val="TOC2"/>
            <w:spacing w:line="240" w:lineRule="auto"/>
          </w:pPr>
          <w:hyperlink w:anchor="_Toc155869508" w:history="1">
            <w:r w:rsidR="00BE5EF5" w:rsidRPr="00511F69">
              <w:rPr>
                <w:rStyle w:val="Hyperlink"/>
                <w:rtl/>
              </w:rPr>
              <w:t>أصل حجّيّة القرآن الكريم(40)</w:t>
            </w:r>
            <w:r w:rsidR="00BE5EF5" w:rsidRPr="00511F69">
              <w:rPr>
                <w:webHidden/>
              </w:rPr>
              <w:tab/>
            </w:r>
            <w:r w:rsidR="00BE5EF5" w:rsidRPr="00511F69">
              <w:rPr>
                <w:webHidden/>
              </w:rPr>
              <w:fldChar w:fldCharType="begin"/>
            </w:r>
            <w:r w:rsidR="00BE5EF5" w:rsidRPr="00511F69">
              <w:rPr>
                <w:webHidden/>
              </w:rPr>
              <w:instrText xml:space="preserve"> PAGEREF _Toc155869508 \h </w:instrText>
            </w:r>
            <w:r w:rsidR="00BE5EF5" w:rsidRPr="00511F69">
              <w:rPr>
                <w:webHidden/>
              </w:rPr>
            </w:r>
            <w:r w:rsidR="00BE5EF5" w:rsidRPr="00511F69">
              <w:rPr>
                <w:webHidden/>
              </w:rPr>
              <w:fldChar w:fldCharType="separate"/>
            </w:r>
            <w:r w:rsidR="00997844">
              <w:rPr>
                <w:webHidden/>
                <w:rtl/>
              </w:rPr>
              <w:t>23</w:t>
            </w:r>
            <w:r w:rsidR="00BE5EF5" w:rsidRPr="00511F69">
              <w:rPr>
                <w:webHidden/>
              </w:rPr>
              <w:fldChar w:fldCharType="end"/>
            </w:r>
          </w:hyperlink>
        </w:p>
        <w:p w:rsidR="00BE5EF5" w:rsidRPr="00511F69" w:rsidRDefault="001C0560" w:rsidP="00511F69">
          <w:pPr>
            <w:pStyle w:val="TOC2"/>
            <w:spacing w:line="240" w:lineRule="auto"/>
          </w:pPr>
          <w:hyperlink w:anchor="_Toc155869509" w:history="1">
            <w:r w:rsidR="00BE5EF5" w:rsidRPr="00511F69">
              <w:rPr>
                <w:rStyle w:val="Hyperlink"/>
                <w:rtl/>
              </w:rPr>
              <w:t>المُحكَم والمتشابَه</w:t>
            </w:r>
            <w:r w:rsidR="00BE5EF5" w:rsidRPr="00511F69">
              <w:rPr>
                <w:webHidden/>
              </w:rPr>
              <w:tab/>
            </w:r>
            <w:r w:rsidR="00BE5EF5" w:rsidRPr="00511F69">
              <w:rPr>
                <w:webHidden/>
              </w:rPr>
              <w:fldChar w:fldCharType="begin"/>
            </w:r>
            <w:r w:rsidR="00BE5EF5" w:rsidRPr="00511F69">
              <w:rPr>
                <w:webHidden/>
              </w:rPr>
              <w:instrText xml:space="preserve"> PAGEREF _Toc155869509 \h </w:instrText>
            </w:r>
            <w:r w:rsidR="00BE5EF5" w:rsidRPr="00511F69">
              <w:rPr>
                <w:webHidden/>
              </w:rPr>
            </w:r>
            <w:r w:rsidR="00BE5EF5" w:rsidRPr="00511F69">
              <w:rPr>
                <w:webHidden/>
              </w:rPr>
              <w:fldChar w:fldCharType="separate"/>
            </w:r>
            <w:r w:rsidR="00997844">
              <w:rPr>
                <w:webHidden/>
                <w:rtl/>
              </w:rPr>
              <w:t>24</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10" w:history="1">
            <w:r w:rsidR="00BE5EF5" w:rsidRPr="00511F69">
              <w:rPr>
                <w:rStyle w:val="Hyperlink"/>
                <w:sz w:val="28"/>
                <w:szCs w:val="28"/>
                <w:rtl/>
              </w:rPr>
              <w:t>الدرس الثالث: حجّيّة القرآن الكريم 2 (حجّيّة ظواهر الكتاب)</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_Toc155869510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31</w:t>
            </w:r>
            <w:r w:rsidR="00BE5EF5" w:rsidRPr="00511F69">
              <w:rPr>
                <w:webHidden/>
                <w:sz w:val="28"/>
                <w:szCs w:val="28"/>
              </w:rPr>
              <w:fldChar w:fldCharType="end"/>
            </w:r>
          </w:hyperlink>
        </w:p>
        <w:p w:rsidR="00BE5EF5" w:rsidRPr="00511F69" w:rsidRDefault="001C0560" w:rsidP="00511F69">
          <w:pPr>
            <w:pStyle w:val="TOC2"/>
            <w:spacing w:line="240" w:lineRule="auto"/>
            <w:rPr>
              <w:rStyle w:val="Hyperlink"/>
            </w:rPr>
          </w:pPr>
          <w:hyperlink w:anchor="_Toc155869511" w:history="1">
            <w:r w:rsidR="00BE5EF5" w:rsidRPr="00511F69">
              <w:rPr>
                <w:rStyle w:val="Hyperlink"/>
                <w:rtl/>
              </w:rPr>
              <w:t>تمهيد</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_Toc155869511 \h </w:instrText>
            </w:r>
            <w:r w:rsidR="00BE5EF5" w:rsidRPr="00511F69">
              <w:rPr>
                <w:rStyle w:val="Hyperlink"/>
                <w:webHidden/>
              </w:rPr>
            </w:r>
            <w:r w:rsidR="00BE5EF5" w:rsidRPr="00511F69">
              <w:rPr>
                <w:rStyle w:val="Hyperlink"/>
                <w:webHidden/>
              </w:rPr>
              <w:fldChar w:fldCharType="separate"/>
            </w:r>
            <w:r w:rsidR="00997844">
              <w:rPr>
                <w:rStyle w:val="Hyperlink"/>
                <w:webHidden/>
                <w:rtl/>
              </w:rPr>
              <w:t>33</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12" w:history="1">
            <w:r w:rsidR="00BE5EF5" w:rsidRPr="00511F69">
              <w:rPr>
                <w:rStyle w:val="Hyperlink"/>
                <w:rtl/>
              </w:rPr>
              <w:t>الظهور لغةً واصطلاحًا</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_Toc155869512 \h </w:instrText>
            </w:r>
            <w:r w:rsidR="00BE5EF5" w:rsidRPr="00511F69">
              <w:rPr>
                <w:rStyle w:val="Hyperlink"/>
                <w:webHidden/>
              </w:rPr>
            </w:r>
            <w:r w:rsidR="00BE5EF5" w:rsidRPr="00511F69">
              <w:rPr>
                <w:rStyle w:val="Hyperlink"/>
                <w:webHidden/>
              </w:rPr>
              <w:fldChar w:fldCharType="separate"/>
            </w:r>
            <w:r w:rsidR="00997844">
              <w:rPr>
                <w:rStyle w:val="Hyperlink"/>
                <w:webHidden/>
                <w:rtl/>
              </w:rPr>
              <w:t>33</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13" w:history="1">
            <w:r w:rsidR="00BE5EF5" w:rsidRPr="00511F69">
              <w:rPr>
                <w:rStyle w:val="Hyperlink"/>
                <w:rtl/>
              </w:rPr>
              <w:t>أدلّة المانعين ومناقشتها</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_Toc155869513 \h </w:instrText>
            </w:r>
            <w:r w:rsidR="00BE5EF5" w:rsidRPr="00511F69">
              <w:rPr>
                <w:rStyle w:val="Hyperlink"/>
                <w:webHidden/>
              </w:rPr>
            </w:r>
            <w:r w:rsidR="00BE5EF5" w:rsidRPr="00511F69">
              <w:rPr>
                <w:rStyle w:val="Hyperlink"/>
                <w:webHidden/>
              </w:rPr>
              <w:fldChar w:fldCharType="separate"/>
            </w:r>
            <w:r w:rsidR="00997844">
              <w:rPr>
                <w:rStyle w:val="Hyperlink"/>
                <w:webHidden/>
                <w:rtl/>
              </w:rPr>
              <w:t>34</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14" w:history="1">
            <w:r w:rsidR="00BE5EF5" w:rsidRPr="00511F69">
              <w:rPr>
                <w:rStyle w:val="Hyperlink"/>
                <w:rtl/>
              </w:rPr>
              <w:t>أدلّة حجّيّة ظواهر الكتاب</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_Toc155869514 \h </w:instrText>
            </w:r>
            <w:r w:rsidR="00BE5EF5" w:rsidRPr="00511F69">
              <w:rPr>
                <w:rStyle w:val="Hyperlink"/>
                <w:webHidden/>
              </w:rPr>
            </w:r>
            <w:r w:rsidR="00BE5EF5" w:rsidRPr="00511F69">
              <w:rPr>
                <w:rStyle w:val="Hyperlink"/>
                <w:webHidden/>
              </w:rPr>
              <w:fldChar w:fldCharType="separate"/>
            </w:r>
            <w:r w:rsidR="00997844">
              <w:rPr>
                <w:rStyle w:val="Hyperlink"/>
                <w:webHidden/>
                <w:rtl/>
              </w:rPr>
              <w:t>38</w:t>
            </w:r>
            <w:r w:rsidR="00BE5EF5" w:rsidRPr="00511F69">
              <w:rPr>
                <w:rStyle w:val="Hyperlink"/>
                <w:webHidden/>
              </w:rPr>
              <w:fldChar w:fldCharType="end"/>
            </w:r>
          </w:hyperlink>
        </w:p>
        <w:p w:rsidR="00BE5EF5" w:rsidRPr="00511F69" w:rsidRDefault="001C0560" w:rsidP="00511F69">
          <w:pPr>
            <w:pStyle w:val="TOC1"/>
            <w:spacing w:line="240" w:lineRule="auto"/>
            <w:rPr>
              <w:sz w:val="28"/>
              <w:szCs w:val="28"/>
            </w:rPr>
          </w:pPr>
          <w:hyperlink w:anchor="_Toc155869515" w:history="1">
            <w:r w:rsidR="00BE5EF5" w:rsidRPr="00511F69">
              <w:rPr>
                <w:rStyle w:val="Hyperlink"/>
                <w:sz w:val="28"/>
                <w:szCs w:val="28"/>
                <w:rtl/>
              </w:rPr>
              <w:t>الدرس الرابع: حجّيّة السنّة 1</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_Toc155869515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41</w:t>
            </w:r>
            <w:r w:rsidR="00BE5EF5" w:rsidRPr="00511F69">
              <w:rPr>
                <w:webHidden/>
                <w:sz w:val="28"/>
                <w:szCs w:val="28"/>
              </w:rPr>
              <w:fldChar w:fldCharType="end"/>
            </w:r>
          </w:hyperlink>
        </w:p>
        <w:p w:rsidR="00BE5EF5" w:rsidRPr="00511F69" w:rsidRDefault="001C0560" w:rsidP="00511F69">
          <w:pPr>
            <w:pStyle w:val="TOC2"/>
            <w:spacing w:line="240" w:lineRule="auto"/>
            <w:rPr>
              <w:rStyle w:val="Hyperlink"/>
            </w:rPr>
          </w:pPr>
          <w:hyperlink w:anchor="_Toc155869516" w:history="1">
            <w:r w:rsidR="00BE5EF5" w:rsidRPr="00511F69">
              <w:rPr>
                <w:rStyle w:val="Hyperlink"/>
                <w:rtl/>
              </w:rPr>
              <w:t>مقدّمة</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_Toc155869516 \h </w:instrText>
            </w:r>
            <w:r w:rsidR="00BE5EF5" w:rsidRPr="00511F69">
              <w:rPr>
                <w:rStyle w:val="Hyperlink"/>
                <w:webHidden/>
              </w:rPr>
            </w:r>
            <w:r w:rsidR="00BE5EF5" w:rsidRPr="00511F69">
              <w:rPr>
                <w:rStyle w:val="Hyperlink"/>
                <w:webHidden/>
              </w:rPr>
              <w:fldChar w:fldCharType="separate"/>
            </w:r>
            <w:r w:rsidR="00997844">
              <w:rPr>
                <w:rStyle w:val="Hyperlink"/>
                <w:webHidden/>
                <w:rtl/>
              </w:rPr>
              <w:t>43</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17" w:history="1">
            <w:r w:rsidR="00BE5EF5" w:rsidRPr="00511F69">
              <w:rPr>
                <w:rStyle w:val="Hyperlink"/>
                <w:rtl/>
              </w:rPr>
              <w:t>الأدلّة على حجّيّة السنّة</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_Toc155869517 \h </w:instrText>
            </w:r>
            <w:r w:rsidR="00BE5EF5" w:rsidRPr="00511F69">
              <w:rPr>
                <w:rStyle w:val="Hyperlink"/>
                <w:webHidden/>
              </w:rPr>
            </w:r>
            <w:r w:rsidR="00BE5EF5" w:rsidRPr="00511F69">
              <w:rPr>
                <w:rStyle w:val="Hyperlink"/>
                <w:webHidden/>
              </w:rPr>
              <w:fldChar w:fldCharType="separate"/>
            </w:r>
            <w:r w:rsidR="00997844">
              <w:rPr>
                <w:rStyle w:val="Hyperlink"/>
                <w:webHidden/>
                <w:rtl/>
              </w:rPr>
              <w:t>44</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18" w:history="1">
            <w:r w:rsidR="00BE5EF5" w:rsidRPr="00511F69">
              <w:rPr>
                <w:rStyle w:val="Hyperlink"/>
                <w:rtl/>
              </w:rPr>
              <w:t>السنن المدَّعى دخولها -واقعًا أو حكمًا- في السنّة الشريفة</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_Toc155869518 \h </w:instrText>
            </w:r>
            <w:r w:rsidR="00BE5EF5" w:rsidRPr="00511F69">
              <w:rPr>
                <w:rStyle w:val="Hyperlink"/>
                <w:webHidden/>
              </w:rPr>
            </w:r>
            <w:r w:rsidR="00BE5EF5" w:rsidRPr="00511F69">
              <w:rPr>
                <w:rStyle w:val="Hyperlink"/>
                <w:webHidden/>
              </w:rPr>
              <w:fldChar w:fldCharType="separate"/>
            </w:r>
            <w:r w:rsidR="00997844">
              <w:rPr>
                <w:rStyle w:val="Hyperlink"/>
                <w:webHidden/>
                <w:rtl/>
              </w:rPr>
              <w:t>46</w:t>
            </w:r>
            <w:r w:rsidR="00BE5EF5" w:rsidRPr="00511F69">
              <w:rPr>
                <w:rStyle w:val="Hyperlink"/>
                <w:webHidden/>
              </w:rPr>
              <w:fldChar w:fldCharType="end"/>
            </w:r>
          </w:hyperlink>
        </w:p>
        <w:p w:rsidR="00BE5EF5" w:rsidRPr="00511F69" w:rsidRDefault="001C0560" w:rsidP="00511F69">
          <w:pPr>
            <w:pStyle w:val="TOC1"/>
            <w:spacing w:line="240" w:lineRule="auto"/>
            <w:rPr>
              <w:sz w:val="28"/>
              <w:szCs w:val="28"/>
            </w:rPr>
          </w:pPr>
          <w:hyperlink w:anchor="_Toc155869519" w:history="1">
            <w:r w:rsidR="00BE5EF5" w:rsidRPr="00511F69">
              <w:rPr>
                <w:rStyle w:val="Hyperlink"/>
                <w:sz w:val="28"/>
                <w:szCs w:val="28"/>
                <w:rtl/>
              </w:rPr>
              <w:t>الدرس الخامس: حجّيّة السنّة 2 (سنّة أهل البيت (عليهم السلام))</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_Toc155869519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49</w:t>
            </w:r>
            <w:r w:rsidR="00BE5EF5" w:rsidRPr="00511F69">
              <w:rPr>
                <w:webHidden/>
                <w:sz w:val="28"/>
                <w:szCs w:val="28"/>
              </w:rPr>
              <w:fldChar w:fldCharType="end"/>
            </w:r>
          </w:hyperlink>
        </w:p>
        <w:p w:rsidR="00BE5EF5" w:rsidRPr="00511F69" w:rsidRDefault="001C0560" w:rsidP="00511F69">
          <w:pPr>
            <w:pStyle w:val="TOC2"/>
            <w:spacing w:line="240" w:lineRule="auto"/>
            <w:rPr>
              <w:rStyle w:val="Hyperlink"/>
            </w:rPr>
          </w:pPr>
          <w:hyperlink w:anchor="_Toc155869520" w:history="1">
            <w:r w:rsidR="00BE5EF5" w:rsidRPr="00511F69">
              <w:rPr>
                <w:rStyle w:val="Hyperlink"/>
                <w:rtl/>
              </w:rPr>
              <w:t>مقدّمة</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_Toc155869520 \h </w:instrText>
            </w:r>
            <w:r w:rsidR="00BE5EF5" w:rsidRPr="00511F69">
              <w:rPr>
                <w:rStyle w:val="Hyperlink"/>
                <w:webHidden/>
              </w:rPr>
            </w:r>
            <w:r w:rsidR="00BE5EF5" w:rsidRPr="00511F69">
              <w:rPr>
                <w:rStyle w:val="Hyperlink"/>
                <w:webHidden/>
              </w:rPr>
              <w:fldChar w:fldCharType="separate"/>
            </w:r>
            <w:r w:rsidR="00997844">
              <w:rPr>
                <w:rStyle w:val="Hyperlink"/>
                <w:webHidden/>
                <w:rtl/>
              </w:rPr>
              <w:t>51</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21" w:history="1">
            <w:r w:rsidR="00BE5EF5" w:rsidRPr="00511F69">
              <w:rPr>
                <w:rStyle w:val="Hyperlink"/>
                <w:rtl/>
              </w:rPr>
              <w:t>الأدلّة من الكتاب العزيز</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_Toc155869521 \h </w:instrText>
            </w:r>
            <w:r w:rsidR="00BE5EF5" w:rsidRPr="00511F69">
              <w:rPr>
                <w:rStyle w:val="Hyperlink"/>
                <w:webHidden/>
              </w:rPr>
            </w:r>
            <w:r w:rsidR="00BE5EF5" w:rsidRPr="00511F69">
              <w:rPr>
                <w:rStyle w:val="Hyperlink"/>
                <w:webHidden/>
              </w:rPr>
              <w:fldChar w:fldCharType="separate"/>
            </w:r>
            <w:r w:rsidR="00997844">
              <w:rPr>
                <w:rStyle w:val="Hyperlink"/>
                <w:webHidden/>
                <w:rtl/>
              </w:rPr>
              <w:t>52</w:t>
            </w:r>
            <w:r w:rsidR="00BE5EF5" w:rsidRPr="00511F69">
              <w:rPr>
                <w:rStyle w:val="Hyperlink"/>
                <w:webHidden/>
              </w:rPr>
              <w:fldChar w:fldCharType="end"/>
            </w:r>
          </w:hyperlink>
        </w:p>
        <w:p w:rsidR="00BE5EF5" w:rsidRPr="00511F69" w:rsidRDefault="001C0560" w:rsidP="00511F69">
          <w:pPr>
            <w:pStyle w:val="TOC1"/>
            <w:spacing w:line="240" w:lineRule="auto"/>
            <w:rPr>
              <w:sz w:val="28"/>
              <w:szCs w:val="28"/>
            </w:rPr>
          </w:pPr>
          <w:hyperlink w:anchor="_Toc155869522" w:history="1">
            <w:r w:rsidR="00BE5EF5" w:rsidRPr="00511F69">
              <w:rPr>
                <w:rStyle w:val="Hyperlink"/>
                <w:sz w:val="28"/>
                <w:szCs w:val="28"/>
                <w:rtl/>
              </w:rPr>
              <w:t>الدرس السادس: الأدلّة على حجّيّة سنّة أهل البيت(عليهم السلام) من السنّة النبويّة 1 (حديث الثقلَين)</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_Toc155869522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59</w:t>
            </w:r>
            <w:r w:rsidR="00BE5EF5" w:rsidRPr="00511F69">
              <w:rPr>
                <w:webHidden/>
                <w:sz w:val="28"/>
                <w:szCs w:val="28"/>
              </w:rPr>
              <w:fldChar w:fldCharType="end"/>
            </w:r>
          </w:hyperlink>
        </w:p>
        <w:p w:rsidR="00BE5EF5" w:rsidRPr="00511F69" w:rsidRDefault="001C0560" w:rsidP="00511F69">
          <w:pPr>
            <w:pStyle w:val="TOC2"/>
            <w:spacing w:line="240" w:lineRule="auto"/>
            <w:rPr>
              <w:rStyle w:val="Hyperlink"/>
            </w:rPr>
          </w:pPr>
          <w:hyperlink w:anchor="_Toc155869523" w:history="1">
            <w:r w:rsidR="00BE5EF5" w:rsidRPr="00511F69">
              <w:rPr>
                <w:rStyle w:val="Hyperlink"/>
                <w:rtl/>
              </w:rPr>
              <w:t>تمهيد: ربط حديث الثقلَين بالمقام</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_Toc155869523 \h </w:instrText>
            </w:r>
            <w:r w:rsidR="00BE5EF5" w:rsidRPr="00511F69">
              <w:rPr>
                <w:rStyle w:val="Hyperlink"/>
                <w:webHidden/>
              </w:rPr>
            </w:r>
            <w:r w:rsidR="00BE5EF5" w:rsidRPr="00511F69">
              <w:rPr>
                <w:rStyle w:val="Hyperlink"/>
                <w:webHidden/>
              </w:rPr>
              <w:fldChar w:fldCharType="separate"/>
            </w:r>
            <w:r w:rsidR="00997844">
              <w:rPr>
                <w:rStyle w:val="Hyperlink"/>
                <w:webHidden/>
                <w:rtl/>
              </w:rPr>
              <w:t>61</w:t>
            </w:r>
            <w:r w:rsidR="00BE5EF5" w:rsidRPr="00511F69">
              <w:rPr>
                <w:rStyle w:val="Hyperlink"/>
                <w:webHidden/>
              </w:rPr>
              <w:fldChar w:fldCharType="end"/>
            </w:r>
          </w:hyperlink>
        </w:p>
        <w:p w:rsidR="00BE5EF5" w:rsidRPr="00511F69" w:rsidRDefault="001C0560" w:rsidP="00511F69">
          <w:pPr>
            <w:pStyle w:val="TOC2"/>
            <w:spacing w:line="240" w:lineRule="auto"/>
            <w:rPr>
              <w:rStyle w:val="Hyperlink"/>
            </w:rPr>
          </w:pPr>
          <w:hyperlink w:anchor="_Toc155869524" w:history="1">
            <w:r w:rsidR="00BE5EF5" w:rsidRPr="00511F69">
              <w:rPr>
                <w:rStyle w:val="Hyperlink"/>
                <w:rtl/>
              </w:rPr>
              <w:t>فقه الحديث وسنده ومناسباته</w:t>
            </w:r>
            <w:r w:rsidR="00BE5EF5" w:rsidRPr="00511F69">
              <w:rPr>
                <w:rStyle w:val="Hyperlink"/>
                <w:webHidden/>
              </w:rPr>
              <w:tab/>
            </w:r>
            <w:r w:rsidR="00BE5EF5" w:rsidRPr="00511F69">
              <w:rPr>
                <w:rStyle w:val="Hyperlink"/>
                <w:webHidden/>
              </w:rPr>
              <w:fldChar w:fldCharType="begin"/>
            </w:r>
            <w:r w:rsidR="00BE5EF5" w:rsidRPr="00511F69">
              <w:rPr>
                <w:rStyle w:val="Hyperlink"/>
                <w:webHidden/>
              </w:rPr>
              <w:instrText xml:space="preserve"> PAGEREF _Toc155869524 \h </w:instrText>
            </w:r>
            <w:r w:rsidR="00BE5EF5" w:rsidRPr="00511F69">
              <w:rPr>
                <w:rStyle w:val="Hyperlink"/>
                <w:webHidden/>
              </w:rPr>
            </w:r>
            <w:r w:rsidR="00BE5EF5" w:rsidRPr="00511F69">
              <w:rPr>
                <w:rStyle w:val="Hyperlink"/>
                <w:webHidden/>
              </w:rPr>
              <w:fldChar w:fldCharType="separate"/>
            </w:r>
            <w:r w:rsidR="00997844">
              <w:rPr>
                <w:rStyle w:val="Hyperlink"/>
                <w:webHidden/>
                <w:rtl/>
              </w:rPr>
              <w:t>62</w:t>
            </w:r>
            <w:r w:rsidR="00BE5EF5" w:rsidRPr="00511F69">
              <w:rPr>
                <w:rStyle w:val="Hyperlink"/>
                <w:webHidden/>
              </w:rPr>
              <w:fldChar w:fldCharType="end"/>
            </w:r>
          </w:hyperlink>
        </w:p>
        <w:p w:rsidR="00511F69" w:rsidRDefault="00511F69" w:rsidP="00511F69">
          <w:pPr>
            <w:spacing w:line="240" w:lineRule="auto"/>
            <w:rPr>
              <w:rFonts w:ascii="Adobe Arabic" w:eastAsia="Times New Roman" w:hAnsi="Adobe Arabic" w:cs="Adobe Arabic"/>
              <w:b/>
              <w:bCs/>
              <w:noProof/>
              <w:color w:val="538135" w:themeColor="accent6" w:themeShade="BF"/>
              <w:sz w:val="28"/>
              <w:szCs w:val="28"/>
            </w:rPr>
          </w:pPr>
          <w:r>
            <w:rPr>
              <w:noProof/>
              <w:sz w:val="28"/>
              <w:szCs w:val="28"/>
            </w:rPr>
            <w:br w:type="page"/>
          </w:r>
        </w:p>
        <w:p w:rsidR="00BE5EF5" w:rsidRPr="00511F69" w:rsidRDefault="001C0560" w:rsidP="00511F69">
          <w:pPr>
            <w:pStyle w:val="TOC1"/>
            <w:spacing w:line="240" w:lineRule="auto"/>
            <w:rPr>
              <w:sz w:val="28"/>
              <w:szCs w:val="28"/>
            </w:rPr>
          </w:pPr>
          <w:hyperlink w:anchor="_Toc155869525" w:history="1">
            <w:r w:rsidR="00BE5EF5" w:rsidRPr="00511F69">
              <w:rPr>
                <w:rStyle w:val="Hyperlink"/>
                <w:sz w:val="28"/>
                <w:szCs w:val="28"/>
                <w:rtl/>
              </w:rPr>
              <w:t>الدرس السابع: الأدلّة على حجّيّة سنّة أهل البيت(عليهم السلام) من السنّة النبويّة 2 (حديث الثقلَين)</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_Toc155869525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67</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26" w:history="1">
            <w:r w:rsidR="00BE5EF5" w:rsidRPr="00511F69">
              <w:rPr>
                <w:rStyle w:val="Hyperlink"/>
                <w:rtl/>
              </w:rPr>
              <w:t>فقه الحديث</w:t>
            </w:r>
            <w:r w:rsidR="00BE5EF5" w:rsidRPr="00511F69">
              <w:rPr>
                <w:webHidden/>
              </w:rPr>
              <w:tab/>
            </w:r>
            <w:r w:rsidR="00BE5EF5" w:rsidRPr="00511F69">
              <w:rPr>
                <w:webHidden/>
              </w:rPr>
              <w:fldChar w:fldCharType="begin"/>
            </w:r>
            <w:r w:rsidR="00BE5EF5" w:rsidRPr="00511F69">
              <w:rPr>
                <w:webHidden/>
              </w:rPr>
              <w:instrText xml:space="preserve"> PAGEREF _Toc155869526 \h </w:instrText>
            </w:r>
            <w:r w:rsidR="00BE5EF5" w:rsidRPr="00511F69">
              <w:rPr>
                <w:webHidden/>
              </w:rPr>
            </w:r>
            <w:r w:rsidR="00BE5EF5" w:rsidRPr="00511F69">
              <w:rPr>
                <w:webHidden/>
              </w:rPr>
              <w:fldChar w:fldCharType="separate"/>
            </w:r>
            <w:r w:rsidR="00997844">
              <w:rPr>
                <w:webHidden/>
                <w:rtl/>
              </w:rPr>
              <w:t>69</w:t>
            </w:r>
            <w:r w:rsidR="00BE5EF5" w:rsidRPr="00511F69">
              <w:rPr>
                <w:webHidden/>
              </w:rPr>
              <w:fldChar w:fldCharType="end"/>
            </w:r>
          </w:hyperlink>
        </w:p>
        <w:p w:rsidR="00BE5EF5" w:rsidRPr="00511F69" w:rsidRDefault="001C0560" w:rsidP="00511F69">
          <w:pPr>
            <w:pStyle w:val="TOC2"/>
            <w:spacing w:line="240" w:lineRule="auto"/>
          </w:pPr>
          <w:hyperlink w:anchor="_Toc155869527" w:history="1">
            <w:r w:rsidR="00BE5EF5" w:rsidRPr="00511F69">
              <w:rPr>
                <w:rStyle w:val="Hyperlink"/>
                <w:rtl/>
              </w:rPr>
              <w:t>أوّلًا: في لفظ الثقلَين ومعناه</w:t>
            </w:r>
            <w:r w:rsidR="00BE5EF5" w:rsidRPr="00511F69">
              <w:rPr>
                <w:webHidden/>
              </w:rPr>
              <w:tab/>
            </w:r>
            <w:r w:rsidR="00BE5EF5" w:rsidRPr="00511F69">
              <w:rPr>
                <w:webHidden/>
              </w:rPr>
              <w:fldChar w:fldCharType="begin"/>
            </w:r>
            <w:r w:rsidR="00BE5EF5" w:rsidRPr="00511F69">
              <w:rPr>
                <w:webHidden/>
              </w:rPr>
              <w:instrText xml:space="preserve"> PAGEREF _Toc155869527 \h </w:instrText>
            </w:r>
            <w:r w:rsidR="00BE5EF5" w:rsidRPr="00511F69">
              <w:rPr>
                <w:webHidden/>
              </w:rPr>
            </w:r>
            <w:r w:rsidR="00BE5EF5" w:rsidRPr="00511F69">
              <w:rPr>
                <w:webHidden/>
              </w:rPr>
              <w:fldChar w:fldCharType="separate"/>
            </w:r>
            <w:r w:rsidR="00997844">
              <w:rPr>
                <w:webHidden/>
                <w:rtl/>
              </w:rPr>
              <w:t>69</w:t>
            </w:r>
            <w:r w:rsidR="00BE5EF5" w:rsidRPr="00511F69">
              <w:rPr>
                <w:webHidden/>
              </w:rPr>
              <w:fldChar w:fldCharType="end"/>
            </w:r>
          </w:hyperlink>
        </w:p>
        <w:p w:rsidR="00BE5EF5" w:rsidRPr="00511F69" w:rsidRDefault="001C0560" w:rsidP="00511F69">
          <w:pPr>
            <w:pStyle w:val="TOC2"/>
            <w:spacing w:line="240" w:lineRule="auto"/>
          </w:pPr>
          <w:hyperlink w:anchor="_Toc155869528" w:history="1">
            <w:r w:rsidR="00BE5EF5" w:rsidRPr="00511F69">
              <w:rPr>
                <w:rStyle w:val="Hyperlink"/>
                <w:rtl/>
              </w:rPr>
              <w:t>ثانيًا: في معنى العترة وأهل البيت والمراد منهما</w:t>
            </w:r>
            <w:r w:rsidR="00BE5EF5" w:rsidRPr="00511F69">
              <w:rPr>
                <w:webHidden/>
              </w:rPr>
              <w:tab/>
            </w:r>
            <w:r w:rsidR="00BE5EF5" w:rsidRPr="00511F69">
              <w:rPr>
                <w:webHidden/>
              </w:rPr>
              <w:fldChar w:fldCharType="begin"/>
            </w:r>
            <w:r w:rsidR="00BE5EF5" w:rsidRPr="00511F69">
              <w:rPr>
                <w:webHidden/>
              </w:rPr>
              <w:instrText xml:space="preserve"> PAGEREF _Toc155869528 \h </w:instrText>
            </w:r>
            <w:r w:rsidR="00BE5EF5" w:rsidRPr="00511F69">
              <w:rPr>
                <w:webHidden/>
              </w:rPr>
            </w:r>
            <w:r w:rsidR="00BE5EF5" w:rsidRPr="00511F69">
              <w:rPr>
                <w:webHidden/>
              </w:rPr>
              <w:fldChar w:fldCharType="separate"/>
            </w:r>
            <w:r w:rsidR="00997844">
              <w:rPr>
                <w:webHidden/>
                <w:rtl/>
              </w:rPr>
              <w:t>70</w:t>
            </w:r>
            <w:r w:rsidR="00BE5EF5" w:rsidRPr="00511F69">
              <w:rPr>
                <w:webHidden/>
              </w:rPr>
              <w:fldChar w:fldCharType="end"/>
            </w:r>
          </w:hyperlink>
        </w:p>
        <w:p w:rsidR="00BE5EF5" w:rsidRPr="00511F69" w:rsidRDefault="001C0560" w:rsidP="00511F69">
          <w:pPr>
            <w:pStyle w:val="TOC2"/>
            <w:spacing w:line="240" w:lineRule="auto"/>
          </w:pPr>
          <w:hyperlink w:anchor="_Toc155869529" w:history="1">
            <w:r w:rsidR="00BE5EF5" w:rsidRPr="00511F69">
              <w:rPr>
                <w:rStyle w:val="Hyperlink"/>
                <w:rtl/>
              </w:rPr>
              <w:t>ثالثًا: العترة وأهل البيت(عليهم السلام) في الاصطلاح القرآنيّ والنبويّ</w:t>
            </w:r>
            <w:r w:rsidR="00BE5EF5" w:rsidRPr="00511F69">
              <w:rPr>
                <w:webHidden/>
              </w:rPr>
              <w:tab/>
            </w:r>
            <w:r w:rsidR="00BE5EF5" w:rsidRPr="00511F69">
              <w:rPr>
                <w:webHidden/>
              </w:rPr>
              <w:fldChar w:fldCharType="begin"/>
            </w:r>
            <w:r w:rsidR="00BE5EF5" w:rsidRPr="00511F69">
              <w:rPr>
                <w:webHidden/>
              </w:rPr>
              <w:instrText xml:space="preserve"> PAGEREF _Toc155869529 \h </w:instrText>
            </w:r>
            <w:r w:rsidR="00BE5EF5" w:rsidRPr="00511F69">
              <w:rPr>
                <w:webHidden/>
              </w:rPr>
            </w:r>
            <w:r w:rsidR="00BE5EF5" w:rsidRPr="00511F69">
              <w:rPr>
                <w:webHidden/>
              </w:rPr>
              <w:fldChar w:fldCharType="separate"/>
            </w:r>
            <w:r w:rsidR="00997844">
              <w:rPr>
                <w:webHidden/>
                <w:rtl/>
              </w:rPr>
              <w:t>71</w:t>
            </w:r>
            <w:r w:rsidR="00BE5EF5" w:rsidRPr="00511F69">
              <w:rPr>
                <w:webHidden/>
              </w:rPr>
              <w:fldChar w:fldCharType="end"/>
            </w:r>
          </w:hyperlink>
        </w:p>
        <w:p w:rsidR="00BE5EF5" w:rsidRPr="00511F69" w:rsidRDefault="001C0560" w:rsidP="00511F69">
          <w:pPr>
            <w:pStyle w:val="TOC2"/>
            <w:spacing w:line="240" w:lineRule="auto"/>
          </w:pPr>
          <w:hyperlink w:anchor="_Toc155869530" w:history="1">
            <w:r w:rsidR="00BE5EF5" w:rsidRPr="00511F69">
              <w:rPr>
                <w:rStyle w:val="Hyperlink"/>
                <w:rtl/>
              </w:rPr>
              <w:t>رابعًا: في دلالة الحديث على عدم افتراق القرآن والعترة</w:t>
            </w:r>
            <w:r w:rsidR="00BE5EF5" w:rsidRPr="00511F69">
              <w:rPr>
                <w:webHidden/>
              </w:rPr>
              <w:tab/>
            </w:r>
            <w:r w:rsidR="00BE5EF5" w:rsidRPr="00511F69">
              <w:rPr>
                <w:webHidden/>
              </w:rPr>
              <w:fldChar w:fldCharType="begin"/>
            </w:r>
            <w:r w:rsidR="00BE5EF5" w:rsidRPr="00511F69">
              <w:rPr>
                <w:webHidden/>
              </w:rPr>
              <w:instrText xml:space="preserve"> PAGEREF _Toc155869530 \h </w:instrText>
            </w:r>
            <w:r w:rsidR="00BE5EF5" w:rsidRPr="00511F69">
              <w:rPr>
                <w:webHidden/>
              </w:rPr>
            </w:r>
            <w:r w:rsidR="00BE5EF5" w:rsidRPr="00511F69">
              <w:rPr>
                <w:webHidden/>
              </w:rPr>
              <w:fldChar w:fldCharType="separate"/>
            </w:r>
            <w:r w:rsidR="00997844">
              <w:rPr>
                <w:webHidden/>
                <w:rtl/>
              </w:rPr>
              <w:t>74</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31" w:history="1">
            <w:r w:rsidR="00BE5EF5" w:rsidRPr="00511F69">
              <w:rPr>
                <w:rStyle w:val="Hyperlink"/>
                <w:sz w:val="28"/>
                <w:szCs w:val="28"/>
                <w:rtl/>
              </w:rPr>
              <w:t>الدرس الثامن: العلاقة بين القرآن والسنّة الواقعيّة</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_Toc155869531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79</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32" w:history="1">
            <w:r w:rsidR="00BE5EF5" w:rsidRPr="00511F69">
              <w:rPr>
                <w:rStyle w:val="Hyperlink"/>
                <w:rtl/>
              </w:rPr>
              <w:t>تمهيد</w:t>
            </w:r>
            <w:r w:rsidR="00BE5EF5" w:rsidRPr="00511F69">
              <w:rPr>
                <w:webHidden/>
              </w:rPr>
              <w:tab/>
            </w:r>
            <w:r w:rsidR="00BE5EF5" w:rsidRPr="00511F69">
              <w:rPr>
                <w:webHidden/>
              </w:rPr>
              <w:fldChar w:fldCharType="begin"/>
            </w:r>
            <w:r w:rsidR="00BE5EF5" w:rsidRPr="00511F69">
              <w:rPr>
                <w:webHidden/>
              </w:rPr>
              <w:instrText xml:space="preserve"> PAGEREF _Toc155869532 \h </w:instrText>
            </w:r>
            <w:r w:rsidR="00BE5EF5" w:rsidRPr="00511F69">
              <w:rPr>
                <w:webHidden/>
              </w:rPr>
            </w:r>
            <w:r w:rsidR="00BE5EF5" w:rsidRPr="00511F69">
              <w:rPr>
                <w:webHidden/>
              </w:rPr>
              <w:fldChar w:fldCharType="separate"/>
            </w:r>
            <w:r w:rsidR="00997844">
              <w:rPr>
                <w:webHidden/>
                <w:rtl/>
              </w:rPr>
              <w:t>81</w:t>
            </w:r>
            <w:r w:rsidR="00BE5EF5" w:rsidRPr="00511F69">
              <w:rPr>
                <w:webHidden/>
              </w:rPr>
              <w:fldChar w:fldCharType="end"/>
            </w:r>
          </w:hyperlink>
        </w:p>
        <w:p w:rsidR="00BE5EF5" w:rsidRPr="00511F69" w:rsidRDefault="001C0560" w:rsidP="00511F69">
          <w:pPr>
            <w:pStyle w:val="TOC2"/>
            <w:spacing w:line="240" w:lineRule="auto"/>
          </w:pPr>
          <w:hyperlink w:anchor="_Toc155869533" w:history="1">
            <w:r w:rsidR="00BE5EF5" w:rsidRPr="00511F69">
              <w:rPr>
                <w:rStyle w:val="Hyperlink"/>
                <w:rtl/>
              </w:rPr>
              <w:t>الترتُّب في الحجّيّة ثبوتًا</w:t>
            </w:r>
            <w:r w:rsidR="00BE5EF5" w:rsidRPr="00511F69">
              <w:rPr>
                <w:webHidden/>
              </w:rPr>
              <w:tab/>
            </w:r>
            <w:r w:rsidR="00BE5EF5" w:rsidRPr="00511F69">
              <w:rPr>
                <w:webHidden/>
              </w:rPr>
              <w:fldChar w:fldCharType="begin"/>
            </w:r>
            <w:r w:rsidR="00BE5EF5" w:rsidRPr="00511F69">
              <w:rPr>
                <w:webHidden/>
              </w:rPr>
              <w:instrText xml:space="preserve"> PAGEREF _Toc155869533 \h </w:instrText>
            </w:r>
            <w:r w:rsidR="00BE5EF5" w:rsidRPr="00511F69">
              <w:rPr>
                <w:webHidden/>
              </w:rPr>
            </w:r>
            <w:r w:rsidR="00BE5EF5" w:rsidRPr="00511F69">
              <w:rPr>
                <w:webHidden/>
              </w:rPr>
              <w:fldChar w:fldCharType="separate"/>
            </w:r>
            <w:r w:rsidR="00997844">
              <w:rPr>
                <w:webHidden/>
                <w:rtl/>
              </w:rPr>
              <w:t>82</w:t>
            </w:r>
            <w:r w:rsidR="00BE5EF5" w:rsidRPr="00511F69">
              <w:rPr>
                <w:webHidden/>
              </w:rPr>
              <w:fldChar w:fldCharType="end"/>
            </w:r>
          </w:hyperlink>
        </w:p>
        <w:p w:rsidR="00BE5EF5" w:rsidRPr="00511F69" w:rsidRDefault="001C0560" w:rsidP="00511F69">
          <w:pPr>
            <w:pStyle w:val="TOC2"/>
            <w:spacing w:line="240" w:lineRule="auto"/>
          </w:pPr>
          <w:hyperlink w:anchor="_Toc155869534" w:history="1">
            <w:r w:rsidR="00BE5EF5" w:rsidRPr="00511F69">
              <w:rPr>
                <w:rStyle w:val="Hyperlink"/>
                <w:rtl/>
              </w:rPr>
              <w:t>الترتيب الأوّل: في المصدريّة العلميّة</w:t>
            </w:r>
            <w:r w:rsidR="00BE5EF5" w:rsidRPr="00511F69">
              <w:rPr>
                <w:webHidden/>
              </w:rPr>
              <w:tab/>
            </w:r>
            <w:r w:rsidR="00BE5EF5" w:rsidRPr="00511F69">
              <w:rPr>
                <w:webHidden/>
              </w:rPr>
              <w:fldChar w:fldCharType="begin"/>
            </w:r>
            <w:r w:rsidR="00BE5EF5" w:rsidRPr="00511F69">
              <w:rPr>
                <w:webHidden/>
              </w:rPr>
              <w:instrText xml:space="preserve"> PAGEREF _Toc155869534 \h </w:instrText>
            </w:r>
            <w:r w:rsidR="00BE5EF5" w:rsidRPr="00511F69">
              <w:rPr>
                <w:webHidden/>
              </w:rPr>
            </w:r>
            <w:r w:rsidR="00BE5EF5" w:rsidRPr="00511F69">
              <w:rPr>
                <w:webHidden/>
              </w:rPr>
              <w:fldChar w:fldCharType="separate"/>
            </w:r>
            <w:r w:rsidR="00997844">
              <w:rPr>
                <w:webHidden/>
                <w:rtl/>
              </w:rPr>
              <w:t>82</w:t>
            </w:r>
            <w:r w:rsidR="00BE5EF5" w:rsidRPr="00511F69">
              <w:rPr>
                <w:webHidden/>
              </w:rPr>
              <w:fldChar w:fldCharType="end"/>
            </w:r>
          </w:hyperlink>
        </w:p>
        <w:p w:rsidR="00BE5EF5" w:rsidRPr="00511F69" w:rsidRDefault="001C0560" w:rsidP="00511F69">
          <w:pPr>
            <w:pStyle w:val="TOC2"/>
            <w:spacing w:line="240" w:lineRule="auto"/>
          </w:pPr>
          <w:hyperlink w:anchor="_Toc155869535" w:history="1">
            <w:r w:rsidR="00BE5EF5" w:rsidRPr="00511F69">
              <w:rPr>
                <w:rStyle w:val="Hyperlink"/>
                <w:rtl/>
              </w:rPr>
              <w:t>الترتّب الثاني: في تبيين السنّة للقرآن</w:t>
            </w:r>
            <w:r w:rsidR="00BE5EF5" w:rsidRPr="00511F69">
              <w:rPr>
                <w:webHidden/>
              </w:rPr>
              <w:tab/>
            </w:r>
            <w:r w:rsidR="00BE5EF5" w:rsidRPr="00511F69">
              <w:rPr>
                <w:webHidden/>
              </w:rPr>
              <w:fldChar w:fldCharType="begin"/>
            </w:r>
            <w:r w:rsidR="00BE5EF5" w:rsidRPr="00511F69">
              <w:rPr>
                <w:webHidden/>
              </w:rPr>
              <w:instrText xml:space="preserve"> PAGEREF _Toc155869535 \h </w:instrText>
            </w:r>
            <w:r w:rsidR="00BE5EF5" w:rsidRPr="00511F69">
              <w:rPr>
                <w:webHidden/>
              </w:rPr>
            </w:r>
            <w:r w:rsidR="00BE5EF5" w:rsidRPr="00511F69">
              <w:rPr>
                <w:webHidden/>
              </w:rPr>
              <w:fldChar w:fldCharType="separate"/>
            </w:r>
            <w:r w:rsidR="00997844">
              <w:rPr>
                <w:webHidden/>
                <w:rtl/>
              </w:rPr>
              <w:t>85</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36" w:history="1">
            <w:r w:rsidR="00BE5EF5" w:rsidRPr="00511F69">
              <w:rPr>
                <w:rStyle w:val="Hyperlink"/>
                <w:sz w:val="28"/>
                <w:szCs w:val="28"/>
                <w:rtl/>
              </w:rPr>
              <w:t>الدرس التاسع: العلاقة بين القرآن والسنّة المحكيّة الظنّيّة 1</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_Toc155869536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89</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37" w:history="1">
            <w:r w:rsidR="00BE5EF5" w:rsidRPr="00511F69">
              <w:rPr>
                <w:rStyle w:val="Hyperlink"/>
                <w:rtl/>
              </w:rPr>
              <w:t>تمهيد</w:t>
            </w:r>
            <w:r w:rsidR="00BE5EF5" w:rsidRPr="00511F69">
              <w:rPr>
                <w:webHidden/>
              </w:rPr>
              <w:tab/>
            </w:r>
            <w:r w:rsidR="00BE5EF5" w:rsidRPr="00511F69">
              <w:rPr>
                <w:webHidden/>
              </w:rPr>
              <w:fldChar w:fldCharType="begin"/>
            </w:r>
            <w:r w:rsidR="00BE5EF5" w:rsidRPr="00511F69">
              <w:rPr>
                <w:webHidden/>
              </w:rPr>
              <w:instrText xml:space="preserve"> PAGEREF _Toc155869537 \h </w:instrText>
            </w:r>
            <w:r w:rsidR="00BE5EF5" w:rsidRPr="00511F69">
              <w:rPr>
                <w:webHidden/>
              </w:rPr>
            </w:r>
            <w:r w:rsidR="00BE5EF5" w:rsidRPr="00511F69">
              <w:rPr>
                <w:webHidden/>
              </w:rPr>
              <w:fldChar w:fldCharType="separate"/>
            </w:r>
            <w:r w:rsidR="00997844">
              <w:rPr>
                <w:webHidden/>
                <w:rtl/>
              </w:rPr>
              <w:t>91</w:t>
            </w:r>
            <w:r w:rsidR="00BE5EF5" w:rsidRPr="00511F69">
              <w:rPr>
                <w:webHidden/>
              </w:rPr>
              <w:fldChar w:fldCharType="end"/>
            </w:r>
          </w:hyperlink>
        </w:p>
        <w:p w:rsidR="00BE5EF5" w:rsidRPr="00511F69" w:rsidRDefault="001C0560" w:rsidP="00511F69">
          <w:pPr>
            <w:pStyle w:val="TOC2"/>
            <w:spacing w:line="240" w:lineRule="auto"/>
          </w:pPr>
          <w:hyperlink w:anchor="_Toc155869538" w:history="1">
            <w:r w:rsidR="00BE5EF5" w:rsidRPr="00511F69">
              <w:rPr>
                <w:rStyle w:val="Hyperlink"/>
                <w:rtl/>
              </w:rPr>
              <w:t>عرض الروايات على الكتاب</w:t>
            </w:r>
            <w:r w:rsidR="00BE5EF5" w:rsidRPr="00511F69">
              <w:rPr>
                <w:webHidden/>
              </w:rPr>
              <w:tab/>
            </w:r>
            <w:r w:rsidR="00BE5EF5" w:rsidRPr="00511F69">
              <w:rPr>
                <w:webHidden/>
              </w:rPr>
              <w:fldChar w:fldCharType="begin"/>
            </w:r>
            <w:r w:rsidR="00BE5EF5" w:rsidRPr="00511F69">
              <w:rPr>
                <w:webHidden/>
              </w:rPr>
              <w:instrText xml:space="preserve"> PAGEREF _Toc155869538 \h </w:instrText>
            </w:r>
            <w:r w:rsidR="00BE5EF5" w:rsidRPr="00511F69">
              <w:rPr>
                <w:webHidden/>
              </w:rPr>
            </w:r>
            <w:r w:rsidR="00BE5EF5" w:rsidRPr="00511F69">
              <w:rPr>
                <w:webHidden/>
              </w:rPr>
              <w:fldChar w:fldCharType="separate"/>
            </w:r>
            <w:r w:rsidR="00997844">
              <w:rPr>
                <w:webHidden/>
                <w:rtl/>
              </w:rPr>
              <w:t>91</w:t>
            </w:r>
            <w:r w:rsidR="00BE5EF5" w:rsidRPr="00511F69">
              <w:rPr>
                <w:webHidden/>
              </w:rPr>
              <w:fldChar w:fldCharType="end"/>
            </w:r>
          </w:hyperlink>
        </w:p>
        <w:p w:rsidR="00BE5EF5" w:rsidRPr="00511F69" w:rsidRDefault="001C0560" w:rsidP="00511F69">
          <w:pPr>
            <w:pStyle w:val="TOC2"/>
            <w:spacing w:line="240" w:lineRule="auto"/>
          </w:pPr>
          <w:hyperlink w:anchor="_Toc155869539" w:history="1">
            <w:r w:rsidR="00BE5EF5" w:rsidRPr="00511F69">
              <w:rPr>
                <w:rStyle w:val="Hyperlink"/>
                <w:rtl/>
              </w:rPr>
              <w:t>المراد من المخالفة والموافقة</w:t>
            </w:r>
            <w:r w:rsidR="00BE5EF5" w:rsidRPr="00511F69">
              <w:rPr>
                <w:webHidden/>
              </w:rPr>
              <w:tab/>
            </w:r>
            <w:r w:rsidR="00BE5EF5" w:rsidRPr="00511F69">
              <w:rPr>
                <w:webHidden/>
              </w:rPr>
              <w:fldChar w:fldCharType="begin"/>
            </w:r>
            <w:r w:rsidR="00BE5EF5" w:rsidRPr="00511F69">
              <w:rPr>
                <w:webHidden/>
              </w:rPr>
              <w:instrText xml:space="preserve"> PAGEREF _Toc155869539 \h </w:instrText>
            </w:r>
            <w:r w:rsidR="00BE5EF5" w:rsidRPr="00511F69">
              <w:rPr>
                <w:webHidden/>
              </w:rPr>
            </w:r>
            <w:r w:rsidR="00BE5EF5" w:rsidRPr="00511F69">
              <w:rPr>
                <w:webHidden/>
              </w:rPr>
              <w:fldChar w:fldCharType="separate"/>
            </w:r>
            <w:r w:rsidR="00997844">
              <w:rPr>
                <w:webHidden/>
                <w:rtl/>
              </w:rPr>
              <w:t>92</w:t>
            </w:r>
            <w:r w:rsidR="00BE5EF5" w:rsidRPr="00511F69">
              <w:rPr>
                <w:webHidden/>
              </w:rPr>
              <w:fldChar w:fldCharType="end"/>
            </w:r>
          </w:hyperlink>
        </w:p>
        <w:p w:rsidR="00BE5EF5" w:rsidRPr="00511F69" w:rsidRDefault="001C0560" w:rsidP="00511F69">
          <w:pPr>
            <w:pStyle w:val="TOC2"/>
            <w:spacing w:line="240" w:lineRule="auto"/>
          </w:pPr>
          <w:hyperlink w:anchor="_Toc155869540" w:history="1">
            <w:r w:rsidR="00BE5EF5" w:rsidRPr="00511F69">
              <w:rPr>
                <w:rStyle w:val="Hyperlink"/>
                <w:rtl/>
              </w:rPr>
              <w:t>الترجيح بموافقة الكتاب ومخالفته</w:t>
            </w:r>
            <w:r w:rsidR="00BE5EF5" w:rsidRPr="00511F69">
              <w:rPr>
                <w:webHidden/>
              </w:rPr>
              <w:tab/>
            </w:r>
            <w:r w:rsidR="00BE5EF5" w:rsidRPr="00511F69">
              <w:rPr>
                <w:webHidden/>
              </w:rPr>
              <w:fldChar w:fldCharType="begin"/>
            </w:r>
            <w:r w:rsidR="00BE5EF5" w:rsidRPr="00511F69">
              <w:rPr>
                <w:webHidden/>
              </w:rPr>
              <w:instrText xml:space="preserve"> PAGEREF _Toc155869540 \h </w:instrText>
            </w:r>
            <w:r w:rsidR="00BE5EF5" w:rsidRPr="00511F69">
              <w:rPr>
                <w:webHidden/>
              </w:rPr>
            </w:r>
            <w:r w:rsidR="00BE5EF5" w:rsidRPr="00511F69">
              <w:rPr>
                <w:webHidden/>
              </w:rPr>
              <w:fldChar w:fldCharType="separate"/>
            </w:r>
            <w:r w:rsidR="00997844">
              <w:rPr>
                <w:webHidden/>
                <w:rtl/>
              </w:rPr>
              <w:t>95</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41" w:history="1">
            <w:r w:rsidR="00BE5EF5" w:rsidRPr="00511F69">
              <w:rPr>
                <w:rStyle w:val="Hyperlink"/>
                <w:sz w:val="28"/>
                <w:szCs w:val="28"/>
                <w:rtl/>
              </w:rPr>
              <w:t>الدرس العاشر: العلاقة بين القرآن والسنّة المحكيّة الظنّيّة 2</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_Toc155869541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97</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42" w:history="1">
            <w:r w:rsidR="00BE5EF5" w:rsidRPr="00511F69">
              <w:rPr>
                <w:rStyle w:val="Hyperlink"/>
                <w:rtl/>
              </w:rPr>
              <w:t>تخصيص الكتاب بخبرِ الواحد</w:t>
            </w:r>
            <w:r w:rsidR="00BE5EF5" w:rsidRPr="00511F69">
              <w:rPr>
                <w:webHidden/>
              </w:rPr>
              <w:tab/>
            </w:r>
            <w:r w:rsidR="00BE5EF5" w:rsidRPr="00511F69">
              <w:rPr>
                <w:webHidden/>
              </w:rPr>
              <w:fldChar w:fldCharType="begin"/>
            </w:r>
            <w:r w:rsidR="00BE5EF5" w:rsidRPr="00511F69">
              <w:rPr>
                <w:webHidden/>
              </w:rPr>
              <w:instrText xml:space="preserve"> PAGEREF _Toc155869542 \h </w:instrText>
            </w:r>
            <w:r w:rsidR="00BE5EF5" w:rsidRPr="00511F69">
              <w:rPr>
                <w:webHidden/>
              </w:rPr>
            </w:r>
            <w:r w:rsidR="00BE5EF5" w:rsidRPr="00511F69">
              <w:rPr>
                <w:webHidden/>
              </w:rPr>
              <w:fldChar w:fldCharType="separate"/>
            </w:r>
            <w:r w:rsidR="00997844">
              <w:rPr>
                <w:webHidden/>
                <w:rtl/>
              </w:rPr>
              <w:t>99</w:t>
            </w:r>
            <w:r w:rsidR="00BE5EF5" w:rsidRPr="00511F69">
              <w:rPr>
                <w:webHidden/>
              </w:rPr>
              <w:fldChar w:fldCharType="end"/>
            </w:r>
          </w:hyperlink>
        </w:p>
        <w:p w:rsidR="00BE5EF5" w:rsidRPr="00511F69" w:rsidRDefault="001C0560" w:rsidP="00511F69">
          <w:pPr>
            <w:pStyle w:val="TOC2"/>
            <w:spacing w:line="240" w:lineRule="auto"/>
          </w:pPr>
          <w:hyperlink w:anchor="_Toc155869543" w:history="1">
            <w:r w:rsidR="00BE5EF5" w:rsidRPr="00511F69">
              <w:rPr>
                <w:rStyle w:val="Hyperlink"/>
                <w:rtl/>
              </w:rPr>
              <w:t>نسخ الكتاب بخبرِ الواحد</w:t>
            </w:r>
            <w:r w:rsidR="00BE5EF5" w:rsidRPr="00511F69">
              <w:rPr>
                <w:webHidden/>
              </w:rPr>
              <w:tab/>
            </w:r>
            <w:r w:rsidR="00BE5EF5" w:rsidRPr="00511F69">
              <w:rPr>
                <w:webHidden/>
              </w:rPr>
              <w:fldChar w:fldCharType="begin"/>
            </w:r>
            <w:r w:rsidR="00BE5EF5" w:rsidRPr="00511F69">
              <w:rPr>
                <w:webHidden/>
              </w:rPr>
              <w:instrText xml:space="preserve"> PAGEREF _Toc155869543 \h </w:instrText>
            </w:r>
            <w:r w:rsidR="00BE5EF5" w:rsidRPr="00511F69">
              <w:rPr>
                <w:webHidden/>
              </w:rPr>
            </w:r>
            <w:r w:rsidR="00BE5EF5" w:rsidRPr="00511F69">
              <w:rPr>
                <w:webHidden/>
              </w:rPr>
              <w:fldChar w:fldCharType="separate"/>
            </w:r>
            <w:r w:rsidR="00997844">
              <w:rPr>
                <w:webHidden/>
                <w:rtl/>
              </w:rPr>
              <w:t>101</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44" w:history="1">
            <w:r w:rsidR="00BE5EF5" w:rsidRPr="00511F69">
              <w:rPr>
                <w:rStyle w:val="Hyperlink"/>
                <w:sz w:val="28"/>
                <w:szCs w:val="28"/>
                <w:rtl/>
              </w:rPr>
              <w:t>الدرس الحادي عشر: حجّيّة السنّة المحكيّة الظنّيّة في تفسير القرآن الكريم</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_Toc155869544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105</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45" w:history="1">
            <w:r w:rsidR="00BE5EF5" w:rsidRPr="00511F69">
              <w:rPr>
                <w:rStyle w:val="Hyperlink"/>
                <w:rtl/>
              </w:rPr>
              <w:t>تمهيد</w:t>
            </w:r>
            <w:r w:rsidR="00BE5EF5" w:rsidRPr="00511F69">
              <w:rPr>
                <w:webHidden/>
              </w:rPr>
              <w:tab/>
            </w:r>
            <w:r w:rsidR="00BE5EF5" w:rsidRPr="00511F69">
              <w:rPr>
                <w:webHidden/>
              </w:rPr>
              <w:fldChar w:fldCharType="begin"/>
            </w:r>
            <w:r w:rsidR="00BE5EF5" w:rsidRPr="00511F69">
              <w:rPr>
                <w:webHidden/>
              </w:rPr>
              <w:instrText xml:space="preserve"> PAGEREF _Toc155869545 \h </w:instrText>
            </w:r>
            <w:r w:rsidR="00BE5EF5" w:rsidRPr="00511F69">
              <w:rPr>
                <w:webHidden/>
              </w:rPr>
            </w:r>
            <w:r w:rsidR="00BE5EF5" w:rsidRPr="00511F69">
              <w:rPr>
                <w:webHidden/>
              </w:rPr>
              <w:fldChar w:fldCharType="separate"/>
            </w:r>
            <w:r w:rsidR="00997844">
              <w:rPr>
                <w:webHidden/>
                <w:rtl/>
              </w:rPr>
              <w:t>107</w:t>
            </w:r>
            <w:r w:rsidR="00BE5EF5" w:rsidRPr="00511F69">
              <w:rPr>
                <w:webHidden/>
              </w:rPr>
              <w:fldChar w:fldCharType="end"/>
            </w:r>
          </w:hyperlink>
        </w:p>
        <w:p w:rsidR="00BE5EF5" w:rsidRPr="00511F69" w:rsidRDefault="001C0560" w:rsidP="00511F69">
          <w:pPr>
            <w:pStyle w:val="TOC2"/>
            <w:spacing w:line="240" w:lineRule="auto"/>
          </w:pPr>
          <w:hyperlink w:anchor="_Toc155869546" w:history="1">
            <w:r w:rsidR="00BE5EF5" w:rsidRPr="00511F69">
              <w:rPr>
                <w:rStyle w:val="Hyperlink"/>
                <w:rtl/>
              </w:rPr>
              <w:t>الآراء حول حجّيّة خبرِ الواحد في التفسير</w:t>
            </w:r>
            <w:r w:rsidR="00BE5EF5" w:rsidRPr="00511F69">
              <w:rPr>
                <w:webHidden/>
              </w:rPr>
              <w:tab/>
            </w:r>
            <w:r w:rsidR="00BE5EF5" w:rsidRPr="00511F69">
              <w:rPr>
                <w:webHidden/>
              </w:rPr>
              <w:fldChar w:fldCharType="begin"/>
            </w:r>
            <w:r w:rsidR="00BE5EF5" w:rsidRPr="00511F69">
              <w:rPr>
                <w:webHidden/>
              </w:rPr>
              <w:instrText xml:space="preserve"> PAGEREF _Toc155869546 \h </w:instrText>
            </w:r>
            <w:r w:rsidR="00BE5EF5" w:rsidRPr="00511F69">
              <w:rPr>
                <w:webHidden/>
              </w:rPr>
            </w:r>
            <w:r w:rsidR="00BE5EF5" w:rsidRPr="00511F69">
              <w:rPr>
                <w:webHidden/>
              </w:rPr>
              <w:fldChar w:fldCharType="separate"/>
            </w:r>
            <w:r w:rsidR="00997844">
              <w:rPr>
                <w:webHidden/>
                <w:rtl/>
              </w:rPr>
              <w:t>107</w:t>
            </w:r>
            <w:r w:rsidR="00BE5EF5" w:rsidRPr="00511F69">
              <w:rPr>
                <w:webHidden/>
              </w:rPr>
              <w:fldChar w:fldCharType="end"/>
            </w:r>
          </w:hyperlink>
        </w:p>
        <w:p w:rsidR="00BE5EF5" w:rsidRPr="00511F69" w:rsidRDefault="001C0560" w:rsidP="00511F69">
          <w:pPr>
            <w:pStyle w:val="TOC2"/>
            <w:spacing w:line="240" w:lineRule="auto"/>
          </w:pPr>
          <w:hyperlink w:anchor="_Toc155869547" w:history="1">
            <w:r w:rsidR="00BE5EF5" w:rsidRPr="00511F69">
              <w:rPr>
                <w:rStyle w:val="Hyperlink"/>
                <w:rtl/>
              </w:rPr>
              <w:t>طرق تفسير السنّة للقرآن الكريم وأساليبها</w:t>
            </w:r>
            <w:r w:rsidR="00BE5EF5" w:rsidRPr="00511F69">
              <w:rPr>
                <w:webHidden/>
              </w:rPr>
              <w:tab/>
            </w:r>
            <w:r w:rsidR="00BE5EF5" w:rsidRPr="00511F69">
              <w:rPr>
                <w:webHidden/>
              </w:rPr>
              <w:fldChar w:fldCharType="begin"/>
            </w:r>
            <w:r w:rsidR="00BE5EF5" w:rsidRPr="00511F69">
              <w:rPr>
                <w:webHidden/>
              </w:rPr>
              <w:instrText xml:space="preserve"> PAGEREF _Toc155869547 \h </w:instrText>
            </w:r>
            <w:r w:rsidR="00BE5EF5" w:rsidRPr="00511F69">
              <w:rPr>
                <w:webHidden/>
              </w:rPr>
            </w:r>
            <w:r w:rsidR="00BE5EF5" w:rsidRPr="00511F69">
              <w:rPr>
                <w:webHidden/>
              </w:rPr>
              <w:fldChar w:fldCharType="separate"/>
            </w:r>
            <w:r w:rsidR="00997844">
              <w:rPr>
                <w:webHidden/>
                <w:rtl/>
              </w:rPr>
              <w:t>110</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48" w:history="1">
            <w:r w:rsidR="00BE5EF5" w:rsidRPr="00511F69">
              <w:rPr>
                <w:rStyle w:val="Hyperlink"/>
                <w:sz w:val="28"/>
                <w:szCs w:val="28"/>
                <w:rtl/>
              </w:rPr>
              <w:t>ملحق 1: رؤية العلَّامة الطباطبائيّ(قدس سره) للعلاقة بين القرآن والسنّة(1)</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_Toc155869548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115</w:t>
            </w:r>
            <w:r w:rsidR="00BE5EF5" w:rsidRPr="00511F69">
              <w:rPr>
                <w:webHidden/>
                <w:sz w:val="28"/>
                <w:szCs w:val="28"/>
              </w:rPr>
              <w:fldChar w:fldCharType="end"/>
            </w:r>
          </w:hyperlink>
        </w:p>
        <w:p w:rsidR="00BE5EF5" w:rsidRPr="00511F69" w:rsidRDefault="001C0560" w:rsidP="00511F69">
          <w:pPr>
            <w:pStyle w:val="TOC2"/>
            <w:spacing w:line="240" w:lineRule="auto"/>
          </w:pPr>
          <w:hyperlink w:anchor="_Toc155869549" w:history="1">
            <w:r w:rsidR="00BE5EF5" w:rsidRPr="00511F69">
              <w:rPr>
                <w:rStyle w:val="Hyperlink"/>
                <w:rtl/>
              </w:rPr>
              <w:t>تمهيد</w:t>
            </w:r>
            <w:r w:rsidR="00BE5EF5" w:rsidRPr="00511F69">
              <w:rPr>
                <w:webHidden/>
              </w:rPr>
              <w:tab/>
            </w:r>
            <w:r w:rsidR="00BE5EF5" w:rsidRPr="00511F69">
              <w:rPr>
                <w:webHidden/>
              </w:rPr>
              <w:fldChar w:fldCharType="begin"/>
            </w:r>
            <w:r w:rsidR="00BE5EF5" w:rsidRPr="00511F69">
              <w:rPr>
                <w:webHidden/>
              </w:rPr>
              <w:instrText xml:space="preserve"> PAGEREF _Toc155869549 \h </w:instrText>
            </w:r>
            <w:r w:rsidR="00BE5EF5" w:rsidRPr="00511F69">
              <w:rPr>
                <w:webHidden/>
              </w:rPr>
            </w:r>
            <w:r w:rsidR="00BE5EF5" w:rsidRPr="00511F69">
              <w:rPr>
                <w:webHidden/>
              </w:rPr>
              <w:fldChar w:fldCharType="separate"/>
            </w:r>
            <w:r w:rsidR="00997844">
              <w:rPr>
                <w:webHidden/>
                <w:rtl/>
              </w:rPr>
              <w:t>117</w:t>
            </w:r>
            <w:r w:rsidR="00BE5EF5" w:rsidRPr="00511F69">
              <w:rPr>
                <w:webHidden/>
              </w:rPr>
              <w:fldChar w:fldCharType="end"/>
            </w:r>
          </w:hyperlink>
        </w:p>
        <w:p w:rsidR="00BE5EF5" w:rsidRPr="00511F69" w:rsidRDefault="001C0560" w:rsidP="00511F69">
          <w:pPr>
            <w:pStyle w:val="TOC2"/>
            <w:spacing w:line="240" w:lineRule="auto"/>
          </w:pPr>
          <w:hyperlink w:anchor="_Toc155869550" w:history="1">
            <w:r w:rsidR="00BE5EF5" w:rsidRPr="00511F69">
              <w:rPr>
                <w:rStyle w:val="Hyperlink"/>
                <w:rtl/>
              </w:rPr>
              <w:t>العلَّامة الطباطبائيّ(قدس سره) وتفسير القرآن بالقرآن</w:t>
            </w:r>
            <w:r w:rsidR="00BE5EF5" w:rsidRPr="00511F69">
              <w:rPr>
                <w:webHidden/>
              </w:rPr>
              <w:tab/>
            </w:r>
            <w:r w:rsidR="00BE5EF5" w:rsidRPr="00511F69">
              <w:rPr>
                <w:webHidden/>
              </w:rPr>
              <w:fldChar w:fldCharType="begin"/>
            </w:r>
            <w:r w:rsidR="00BE5EF5" w:rsidRPr="00511F69">
              <w:rPr>
                <w:webHidden/>
              </w:rPr>
              <w:instrText xml:space="preserve"> PAGEREF _Toc155869550 \h </w:instrText>
            </w:r>
            <w:r w:rsidR="00BE5EF5" w:rsidRPr="00511F69">
              <w:rPr>
                <w:webHidden/>
              </w:rPr>
            </w:r>
            <w:r w:rsidR="00BE5EF5" w:rsidRPr="00511F69">
              <w:rPr>
                <w:webHidden/>
              </w:rPr>
              <w:fldChar w:fldCharType="separate"/>
            </w:r>
            <w:r w:rsidR="00997844">
              <w:rPr>
                <w:webHidden/>
                <w:rtl/>
              </w:rPr>
              <w:t>117</w:t>
            </w:r>
            <w:r w:rsidR="00BE5EF5" w:rsidRPr="00511F69">
              <w:rPr>
                <w:webHidden/>
              </w:rPr>
              <w:fldChar w:fldCharType="end"/>
            </w:r>
          </w:hyperlink>
        </w:p>
        <w:p w:rsidR="00BE5EF5" w:rsidRPr="00511F69" w:rsidRDefault="001C0560" w:rsidP="00511F69">
          <w:pPr>
            <w:pStyle w:val="TOC2"/>
            <w:spacing w:line="240" w:lineRule="auto"/>
          </w:pPr>
          <w:hyperlink w:anchor="_Toc155869551" w:history="1">
            <w:r w:rsidR="00BE5EF5" w:rsidRPr="00511F69">
              <w:rPr>
                <w:rStyle w:val="Hyperlink"/>
                <w:rtl/>
              </w:rPr>
              <w:t>النظريّات في دور الروايات في التفسير</w:t>
            </w:r>
            <w:r w:rsidR="00BE5EF5" w:rsidRPr="00511F69">
              <w:rPr>
                <w:webHidden/>
              </w:rPr>
              <w:tab/>
            </w:r>
            <w:r w:rsidR="00BE5EF5" w:rsidRPr="00511F69">
              <w:rPr>
                <w:webHidden/>
              </w:rPr>
              <w:fldChar w:fldCharType="begin"/>
            </w:r>
            <w:r w:rsidR="00BE5EF5" w:rsidRPr="00511F69">
              <w:rPr>
                <w:webHidden/>
              </w:rPr>
              <w:instrText xml:space="preserve"> PAGEREF _Toc155869551 \h </w:instrText>
            </w:r>
            <w:r w:rsidR="00BE5EF5" w:rsidRPr="00511F69">
              <w:rPr>
                <w:webHidden/>
              </w:rPr>
            </w:r>
            <w:r w:rsidR="00BE5EF5" w:rsidRPr="00511F69">
              <w:rPr>
                <w:webHidden/>
              </w:rPr>
              <w:fldChar w:fldCharType="separate"/>
            </w:r>
            <w:r w:rsidR="00997844">
              <w:rPr>
                <w:webHidden/>
                <w:rtl/>
              </w:rPr>
              <w:t>119</w:t>
            </w:r>
            <w:r w:rsidR="00BE5EF5" w:rsidRPr="00511F69">
              <w:rPr>
                <w:webHidden/>
              </w:rPr>
              <w:fldChar w:fldCharType="end"/>
            </w:r>
          </w:hyperlink>
        </w:p>
        <w:p w:rsidR="00BE5EF5" w:rsidRPr="00511F69" w:rsidRDefault="001C0560" w:rsidP="00511F69">
          <w:pPr>
            <w:pStyle w:val="TOC2"/>
            <w:spacing w:line="240" w:lineRule="auto"/>
          </w:pPr>
          <w:hyperlink w:anchor="_Toc155869552" w:history="1">
            <w:r w:rsidR="00BE5EF5" w:rsidRPr="00511F69">
              <w:rPr>
                <w:rStyle w:val="Hyperlink"/>
                <w:rtl/>
              </w:rPr>
              <w:t>العلَّامة الطباطبائيّ والنظريّات الثلاثة</w:t>
            </w:r>
            <w:r w:rsidR="00BE5EF5" w:rsidRPr="00511F69">
              <w:rPr>
                <w:webHidden/>
              </w:rPr>
              <w:tab/>
            </w:r>
            <w:r w:rsidR="00BE5EF5" w:rsidRPr="00511F69">
              <w:rPr>
                <w:webHidden/>
              </w:rPr>
              <w:fldChar w:fldCharType="begin"/>
            </w:r>
            <w:r w:rsidR="00BE5EF5" w:rsidRPr="00511F69">
              <w:rPr>
                <w:webHidden/>
              </w:rPr>
              <w:instrText xml:space="preserve"> PAGEREF _Toc155869552 \h </w:instrText>
            </w:r>
            <w:r w:rsidR="00BE5EF5" w:rsidRPr="00511F69">
              <w:rPr>
                <w:webHidden/>
              </w:rPr>
            </w:r>
            <w:r w:rsidR="00BE5EF5" w:rsidRPr="00511F69">
              <w:rPr>
                <w:webHidden/>
              </w:rPr>
              <w:fldChar w:fldCharType="separate"/>
            </w:r>
            <w:r w:rsidR="00997844">
              <w:rPr>
                <w:webHidden/>
                <w:rtl/>
              </w:rPr>
              <w:t>120</w:t>
            </w:r>
            <w:r w:rsidR="00BE5EF5" w:rsidRPr="00511F69">
              <w:rPr>
                <w:webHidden/>
              </w:rPr>
              <w:fldChar w:fldCharType="end"/>
            </w:r>
          </w:hyperlink>
        </w:p>
        <w:p w:rsidR="00BE5EF5" w:rsidRPr="00511F69" w:rsidRDefault="001C0560" w:rsidP="00511F69">
          <w:pPr>
            <w:pStyle w:val="TOC2"/>
            <w:spacing w:line="240" w:lineRule="auto"/>
          </w:pPr>
          <w:hyperlink w:anchor="_Toc155869553" w:history="1">
            <w:r w:rsidR="00BE5EF5" w:rsidRPr="00511F69">
              <w:rPr>
                <w:rStyle w:val="Hyperlink"/>
                <w:rtl/>
              </w:rPr>
              <w:t>القرآن والسنّة الواقعيّة</w:t>
            </w:r>
            <w:r w:rsidR="00BE5EF5" w:rsidRPr="00511F69">
              <w:rPr>
                <w:webHidden/>
              </w:rPr>
              <w:tab/>
            </w:r>
            <w:r w:rsidR="00BE5EF5" w:rsidRPr="00511F69">
              <w:rPr>
                <w:webHidden/>
              </w:rPr>
              <w:fldChar w:fldCharType="begin"/>
            </w:r>
            <w:r w:rsidR="00BE5EF5" w:rsidRPr="00511F69">
              <w:rPr>
                <w:webHidden/>
              </w:rPr>
              <w:instrText xml:space="preserve"> PAGEREF _Toc155869553 \h </w:instrText>
            </w:r>
            <w:r w:rsidR="00BE5EF5" w:rsidRPr="00511F69">
              <w:rPr>
                <w:webHidden/>
              </w:rPr>
            </w:r>
            <w:r w:rsidR="00BE5EF5" w:rsidRPr="00511F69">
              <w:rPr>
                <w:webHidden/>
              </w:rPr>
              <w:fldChar w:fldCharType="separate"/>
            </w:r>
            <w:r w:rsidR="00997844">
              <w:rPr>
                <w:webHidden/>
                <w:rtl/>
              </w:rPr>
              <w:t>120</w:t>
            </w:r>
            <w:r w:rsidR="00BE5EF5" w:rsidRPr="00511F69">
              <w:rPr>
                <w:webHidden/>
              </w:rPr>
              <w:fldChar w:fldCharType="end"/>
            </w:r>
          </w:hyperlink>
        </w:p>
        <w:p w:rsidR="00BE5EF5" w:rsidRPr="00511F69" w:rsidRDefault="001C0560" w:rsidP="00511F69">
          <w:pPr>
            <w:pStyle w:val="TOC2"/>
            <w:spacing w:line="240" w:lineRule="auto"/>
          </w:pPr>
          <w:hyperlink w:anchor="_Toc155869554" w:history="1">
            <w:r w:rsidR="00BE5EF5" w:rsidRPr="00511F69">
              <w:rPr>
                <w:rStyle w:val="Hyperlink"/>
                <w:rtl/>
              </w:rPr>
              <w:t>القرآن والسنّة المحكيّة</w:t>
            </w:r>
            <w:r w:rsidR="00BE5EF5" w:rsidRPr="00511F69">
              <w:rPr>
                <w:webHidden/>
              </w:rPr>
              <w:tab/>
            </w:r>
            <w:r w:rsidR="00BE5EF5" w:rsidRPr="00511F69">
              <w:rPr>
                <w:webHidden/>
              </w:rPr>
              <w:fldChar w:fldCharType="begin"/>
            </w:r>
            <w:r w:rsidR="00BE5EF5" w:rsidRPr="00511F69">
              <w:rPr>
                <w:webHidden/>
              </w:rPr>
              <w:instrText xml:space="preserve"> PAGEREF _Toc155869554 \h </w:instrText>
            </w:r>
            <w:r w:rsidR="00BE5EF5" w:rsidRPr="00511F69">
              <w:rPr>
                <w:webHidden/>
              </w:rPr>
            </w:r>
            <w:r w:rsidR="00BE5EF5" w:rsidRPr="00511F69">
              <w:rPr>
                <w:webHidden/>
              </w:rPr>
              <w:fldChar w:fldCharType="separate"/>
            </w:r>
            <w:r w:rsidR="00997844">
              <w:rPr>
                <w:webHidden/>
                <w:rtl/>
              </w:rPr>
              <w:t>123</w:t>
            </w:r>
            <w:r w:rsidR="00BE5EF5" w:rsidRPr="00511F69">
              <w:rPr>
                <w:webHidden/>
              </w:rPr>
              <w:fldChar w:fldCharType="end"/>
            </w:r>
          </w:hyperlink>
        </w:p>
        <w:p w:rsidR="00BE5EF5" w:rsidRPr="00511F69" w:rsidRDefault="001C0560" w:rsidP="00511F69">
          <w:pPr>
            <w:pStyle w:val="TOC2"/>
            <w:spacing w:line="240" w:lineRule="auto"/>
          </w:pPr>
          <w:hyperlink w:anchor="_Toc155869555" w:history="1">
            <w:r w:rsidR="00BE5EF5" w:rsidRPr="00511F69">
              <w:rPr>
                <w:rStyle w:val="Hyperlink"/>
                <w:rtl/>
              </w:rPr>
              <w:t>تنبيه</w:t>
            </w:r>
            <w:r w:rsidR="00BE5EF5" w:rsidRPr="00511F69">
              <w:rPr>
                <w:webHidden/>
              </w:rPr>
              <w:tab/>
            </w:r>
            <w:r w:rsidR="00BE5EF5" w:rsidRPr="00511F69">
              <w:rPr>
                <w:webHidden/>
              </w:rPr>
              <w:fldChar w:fldCharType="begin"/>
            </w:r>
            <w:r w:rsidR="00BE5EF5" w:rsidRPr="00511F69">
              <w:rPr>
                <w:webHidden/>
              </w:rPr>
              <w:instrText xml:space="preserve"> PAGEREF _Toc155869555 \h </w:instrText>
            </w:r>
            <w:r w:rsidR="00BE5EF5" w:rsidRPr="00511F69">
              <w:rPr>
                <w:webHidden/>
              </w:rPr>
            </w:r>
            <w:r w:rsidR="00BE5EF5" w:rsidRPr="00511F69">
              <w:rPr>
                <w:webHidden/>
              </w:rPr>
              <w:fldChar w:fldCharType="separate"/>
            </w:r>
            <w:r w:rsidR="00997844">
              <w:rPr>
                <w:webHidden/>
                <w:rtl/>
              </w:rPr>
              <w:t>127</w:t>
            </w:r>
            <w:r w:rsidR="00BE5EF5" w:rsidRPr="00511F69">
              <w:rPr>
                <w:webHidden/>
              </w:rPr>
              <w:fldChar w:fldCharType="end"/>
            </w:r>
          </w:hyperlink>
        </w:p>
        <w:p w:rsidR="00BE5EF5" w:rsidRPr="00511F69" w:rsidRDefault="001C0560" w:rsidP="00511F69">
          <w:pPr>
            <w:pStyle w:val="TOC1"/>
            <w:spacing w:line="240" w:lineRule="auto"/>
            <w:rPr>
              <w:sz w:val="28"/>
              <w:szCs w:val="28"/>
            </w:rPr>
          </w:pPr>
          <w:hyperlink w:anchor="_Toc155869556" w:history="1">
            <w:r w:rsidR="00BE5EF5" w:rsidRPr="00511F69">
              <w:rPr>
                <w:rStyle w:val="Hyperlink"/>
                <w:sz w:val="28"/>
                <w:szCs w:val="28"/>
                <w:rtl/>
              </w:rPr>
              <w:t>ملحق 2: في بعض ألفاظ حديث الثقلَين</w:t>
            </w:r>
            <w:r w:rsidR="00BE5EF5" w:rsidRPr="00511F69">
              <w:rPr>
                <w:webHidden/>
                <w:sz w:val="28"/>
                <w:szCs w:val="28"/>
              </w:rPr>
              <w:tab/>
            </w:r>
            <w:r w:rsidR="00BE5EF5" w:rsidRPr="00511F69">
              <w:rPr>
                <w:webHidden/>
                <w:sz w:val="28"/>
                <w:szCs w:val="28"/>
              </w:rPr>
              <w:fldChar w:fldCharType="begin"/>
            </w:r>
            <w:r w:rsidR="00BE5EF5" w:rsidRPr="00511F69">
              <w:rPr>
                <w:webHidden/>
                <w:sz w:val="28"/>
                <w:szCs w:val="28"/>
              </w:rPr>
              <w:instrText xml:space="preserve"> PAGEREF _Toc155869556 \h </w:instrText>
            </w:r>
            <w:r w:rsidR="00BE5EF5" w:rsidRPr="00511F69">
              <w:rPr>
                <w:webHidden/>
                <w:sz w:val="28"/>
                <w:szCs w:val="28"/>
              </w:rPr>
            </w:r>
            <w:r w:rsidR="00BE5EF5" w:rsidRPr="00511F69">
              <w:rPr>
                <w:webHidden/>
                <w:sz w:val="28"/>
                <w:szCs w:val="28"/>
              </w:rPr>
              <w:fldChar w:fldCharType="separate"/>
            </w:r>
            <w:r w:rsidR="00997844">
              <w:rPr>
                <w:webHidden/>
                <w:sz w:val="28"/>
                <w:szCs w:val="28"/>
                <w:rtl/>
              </w:rPr>
              <w:t>129</w:t>
            </w:r>
            <w:r w:rsidR="00BE5EF5" w:rsidRPr="00511F69">
              <w:rPr>
                <w:webHidden/>
                <w:sz w:val="28"/>
                <w:szCs w:val="28"/>
              </w:rPr>
              <w:fldChar w:fldCharType="end"/>
            </w:r>
          </w:hyperlink>
        </w:p>
        <w:p w:rsidR="00B44CDE" w:rsidRDefault="00BE5EF5" w:rsidP="00B44CDE">
          <w:pPr>
            <w:bidi/>
            <w:jc w:val="both"/>
            <w:rPr>
              <w:b/>
              <w:bCs/>
              <w:noProof/>
              <w:rtl/>
            </w:rPr>
          </w:pPr>
          <w:r w:rsidRPr="00CA5543">
            <w:rPr>
              <w:rFonts w:ascii="Adobe Arabic" w:hAnsi="Adobe Arabic" w:cs="Adobe Arabic"/>
              <w:b/>
              <w:bCs/>
              <w:noProof/>
              <w:sz w:val="32"/>
              <w:szCs w:val="32"/>
            </w:rPr>
            <w:fldChar w:fldCharType="end"/>
          </w:r>
        </w:p>
      </w:sdtContent>
    </w:sdt>
    <w:p w:rsidR="00BD4C4D" w:rsidRPr="0064226D" w:rsidRDefault="00BD4C4D" w:rsidP="00FD1C50">
      <w:pPr>
        <w:pStyle w:val="Heading1"/>
        <w:bidi/>
        <w:jc w:val="center"/>
        <w:rPr>
          <w:rFonts w:ascii="Adobe Arabic" w:eastAsia="Times New Roman" w:hAnsi="Adobe Arabic" w:cs="Adobe Arabic"/>
          <w:b/>
          <w:bCs/>
          <w:color w:val="538135" w:themeColor="accent6" w:themeShade="BF"/>
          <w:sz w:val="40"/>
          <w:szCs w:val="40"/>
          <w:rtl/>
        </w:rPr>
      </w:pPr>
      <w:bookmarkStart w:id="1" w:name="_Toc155869497"/>
      <w:r w:rsidRPr="0064226D">
        <w:rPr>
          <w:rFonts w:ascii="Adobe Arabic" w:eastAsia="Times New Roman" w:hAnsi="Adobe Arabic" w:cs="Adobe Arabic"/>
          <w:b/>
          <w:bCs/>
          <w:color w:val="538135" w:themeColor="accent6" w:themeShade="BF"/>
          <w:sz w:val="40"/>
          <w:szCs w:val="40"/>
          <w:rtl/>
        </w:rPr>
        <w:lastRenderedPageBreak/>
        <w:t>المقدّمة</w:t>
      </w:r>
      <w:bookmarkEnd w:id="1"/>
    </w:p>
    <w:p w:rsidR="00BD4C4D" w:rsidRPr="0064226D" w:rsidRDefault="0064226D" w:rsidP="0064226D">
      <w:pPr>
        <w:bidi/>
        <w:spacing w:before="100" w:beforeAutospacing="1" w:after="100" w:afterAutospacing="1" w:line="240" w:lineRule="auto"/>
        <w:jc w:val="center"/>
        <w:rPr>
          <w:rFonts w:ascii="Adobe Arabic" w:eastAsia="Times New Roman" w:hAnsi="Adobe Arabic" w:cs="Adobe Arabic"/>
          <w:b/>
          <w:bCs/>
          <w:color w:val="538135" w:themeColor="accent6" w:themeShade="BF"/>
          <w:sz w:val="40"/>
          <w:szCs w:val="40"/>
          <w:rtl/>
          <w:lang w:bidi="ar-LB"/>
        </w:rPr>
      </w:pPr>
      <w:r w:rsidRPr="0064226D">
        <w:rPr>
          <w:rFonts w:ascii="Adobe Arabic" w:eastAsia="Times New Roman" w:hAnsi="Adobe Arabic" w:cs="Adobe Arabic" w:hint="cs"/>
          <w:b/>
          <w:bCs/>
          <w:color w:val="538135" w:themeColor="accent6" w:themeShade="BF"/>
          <w:sz w:val="40"/>
          <w:szCs w:val="40"/>
          <w:rtl/>
          <w:lang w:bidi="ar-LB"/>
        </w:rPr>
        <w:t>بسم الله الرحمن الرحيم</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رسول الله</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w:t>
      </w:r>
      <w:r w:rsidRPr="008103F8">
        <w:rPr>
          <w:rFonts w:ascii="Adobe Arabic" w:eastAsia="Times New Roman" w:hAnsi="Adobe Arabic" w:cs="Adobe Arabic"/>
          <w:b/>
          <w:bCs/>
          <w:color w:val="000000"/>
          <w:sz w:val="32"/>
          <w:szCs w:val="32"/>
          <w:rtl/>
        </w:rPr>
        <w:t>«إني تارك فيكم الثقلين: كتاب الله عز وجل وعترتي أهل بيتي، ألا وهما الخليفتان من بعدي، ولن يفترقا حتى يردا علي الحوض»</w:t>
      </w:r>
      <w:r w:rsidR="00B91DFA">
        <w:rPr>
          <w:rStyle w:val="FootnoteReference"/>
          <w:rFonts w:ascii="Adobe Arabic" w:eastAsia="Times New Roman" w:hAnsi="Adobe Arabic" w:cs="Adobe Arabic"/>
          <w:b/>
          <w:bCs/>
          <w:color w:val="000000"/>
          <w:sz w:val="32"/>
          <w:szCs w:val="32"/>
          <w:rtl/>
        </w:rPr>
        <w:footnoteReference w:id="1"/>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شكّل نزول القرآن على قلب المصطفى</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فتحاً عظيماً وهائلاً على صعيد الهداية الإلهية، لم يسبقه فتح مثله، ولن يليه كذلك، فهو كتاب الهداية الإلهية العظمى الذي يشتمل على أرقى المعارف الاعتقادية، ويعرض للبشرية شريعة وأحكاماً ومنهجَ حياة، وفضائل أخلاقية بأسلوب تميّز به هذا الكتاب العظيم، لا يركّز فيه على عرض الجانب النظري من الأخلاق وإنّما يشفعها بذكر النموذج والمصداق، ليكون أشدّ تأثيرا وأقرب إلى مقصده. وهو أيضاً وأيضاً يتضمّن العديد من الأصول العلمية، التي كان غرضه من عرضها تحقيق الهدف الأساس منه، وهو الهداية الإلهية للتي هي أقوم.</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هذا، وقد اقترن القرآن مع بداية نزوله ببيان رسول الله محمد</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ولم يكن بدّ من الأخذ بكليهما لدلالته هو -أي القرآن- على ذلك، ودلالة العقل عليه. قال تعالى: </w:t>
      </w:r>
      <w:r w:rsidRPr="000D4298">
        <w:rPr>
          <w:rFonts w:ascii="Traditional Arabic" w:eastAsia="Times New Roman" w:hAnsi="Traditional Arabic" w:cs="Traditional Arabic"/>
          <w:b/>
          <w:bCs/>
          <w:color w:val="538135" w:themeColor="accent6" w:themeShade="BF"/>
          <w:sz w:val="32"/>
          <w:szCs w:val="32"/>
          <w:rtl/>
        </w:rPr>
        <w:t>﴿وَأَنْزَلْنَا إِلَيْكَ الذِّكْرَ لِتُبَيِّنَ لِلنَّاسِ مَا نُزِّلَ إِلَيْهِمْ وَلَعَلَّهُمْ يَتَفَكَّرُونَ﴾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2"/>
      </w:r>
      <w:r w:rsidRPr="001609BB">
        <w:rPr>
          <w:rFonts w:ascii="Adobe Arabic" w:eastAsia="Times New Roman" w:hAnsi="Adobe Arabic" w:cs="Adobe Arabic"/>
          <w:color w:val="000000"/>
          <w:sz w:val="32"/>
          <w:szCs w:val="32"/>
          <w:rtl/>
        </w:rPr>
        <w:t>.</w:t>
      </w:r>
    </w:p>
    <w:p w:rsidR="00830474" w:rsidRDefault="008304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وقال -عزّ من قائل-: </w:t>
      </w:r>
      <w:r w:rsidRPr="000D4298">
        <w:rPr>
          <w:rFonts w:ascii="Traditional Arabic" w:eastAsia="Times New Roman" w:hAnsi="Traditional Arabic" w:cs="Traditional Arabic"/>
          <w:b/>
          <w:bCs/>
          <w:color w:val="538135" w:themeColor="accent6" w:themeShade="BF"/>
          <w:sz w:val="32"/>
          <w:szCs w:val="32"/>
          <w:rtl/>
        </w:rPr>
        <w:t>﴿وَمَا آَتَاك</w:t>
      </w:r>
      <w:r w:rsidRPr="00830474">
        <w:rPr>
          <w:rFonts w:ascii="Traditional Arabic" w:eastAsia="Times New Roman" w:hAnsi="Traditional Arabic" w:cs="Traditional Arabic"/>
          <w:b/>
          <w:bCs/>
          <w:color w:val="538135" w:themeColor="accent6" w:themeShade="BF"/>
          <w:sz w:val="32"/>
          <w:szCs w:val="32"/>
          <w:rtl/>
        </w:rPr>
        <w:t>ُمُ الرَّسُولُ</w:t>
      </w:r>
      <w:r w:rsidRPr="000D4298">
        <w:rPr>
          <w:rFonts w:ascii="Traditional Arabic" w:eastAsia="Times New Roman" w:hAnsi="Traditional Arabic" w:cs="Traditional Arabic"/>
          <w:b/>
          <w:bCs/>
          <w:color w:val="538135" w:themeColor="accent6" w:themeShade="BF"/>
          <w:sz w:val="32"/>
          <w:szCs w:val="32"/>
          <w:rtl/>
        </w:rPr>
        <w:t xml:space="preserve"> فَخُذُوهُ وَمَا نَهَاكُمْ عَنْهُ فَانْتَهُوا﴾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3"/>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امتدّت وظيفة البيان -لا تلقّي الوحي القرآني- والهداية في أهل بيت النبيّ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ورثة علمه والدعاة إلى سبيله؛ سبيل الله القويم، والخلفاء من بعده «فكانوا هم السبيل إليك والمسلك إلى رضوانك»</w:t>
      </w:r>
      <w:r w:rsidR="00B91DFA">
        <w:rPr>
          <w:rStyle w:val="FootnoteReference"/>
          <w:rFonts w:ascii="Adobe Arabic" w:eastAsia="Times New Roman" w:hAnsi="Adobe Arabic" w:cs="Adobe Arabic"/>
          <w:color w:val="000000"/>
          <w:sz w:val="32"/>
          <w:szCs w:val="32"/>
          <w:rtl/>
        </w:rPr>
        <w:footnoteReference w:id="4"/>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أكّد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مواطن عديدة على لزوم التمسّك بالكتاب والعترة لمن أراد النجاة ونيل رضوان الله تعالى، وكان حديثه المتواتر، والمشهور بحديث الثقلين، من أوضح البيان لهذه الحقيقة والضرورة، وكان لازمه البيّن أنّ الأخذ بأحدهما دون الآخر هو مخالفة لهذا الحديث من الأساس، فإنّ عدم افتراقهما يفيد أنّ الاقتصار على أحدهما فحسب مساو لعدم الأخذ بكليهما، فلا القرآن يفترق عن العترة، ولا العترة تفترق عن القرآن.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هذا الكتاب «دروس في العلاقة بين القرآن والسنّة» -وعلى الرغم من صغر حجمه- تناول في بحوثه التي عرضها محاولة لفهم طبيعة هذه العلاقة، مع ضرورة الانتباه إلى أنّ السنّة -بحسب ما هو ثابت في مدرسة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تعمّ تراث النبيّ وآله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قولاً وفعلاً وتقريراً. وقد تضمّن الكلام فيه حجية كلٍّ من القرآن والسنّة، والعلاقة بينهما سواء بلحاظ السنّة الواقعية، أو السنّة المحكيّة، مشفوعاً بملحقَين؛ الأوّل تحدّث –بنحو ملخّص– عن رؤية العلامة الطباطبائي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لطبيعة هذه العلاقة، والثاني عرض لألفاظ حديث الثقلين كما ورد في مصادر كثيرة للمسلمين شيعة وسنّة.</w:t>
      </w:r>
    </w:p>
    <w:p w:rsidR="00830474" w:rsidRDefault="00BD4C4D" w:rsidP="008304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نسأل الله تعالى أن يبارك هذا العمل المتواضع، وأن ينفع به الباحثين عن المعرفة الأصيلة، والساعين لإعلاء راية الإسلام المحمّدي الأصيل، وأن ينيل جميع من عمل على إنجاز هذا الكتاب وساهم فيه الأجر والثواب بفضله ورحمته، وآخر دعوانا أن الحمد لله ربّ العالمين.</w:t>
      </w:r>
    </w:p>
    <w:p w:rsidR="00830474" w:rsidRPr="00830474" w:rsidRDefault="00830474" w:rsidP="00830474">
      <w:pPr>
        <w:bidi/>
        <w:spacing w:before="100" w:beforeAutospacing="1" w:after="100" w:afterAutospacing="1" w:line="240" w:lineRule="auto"/>
        <w:jc w:val="right"/>
        <w:rPr>
          <w:rFonts w:ascii="Adobe Arabic" w:eastAsia="Times New Roman" w:hAnsi="Adobe Arabic" w:cs="Adobe Arabic"/>
          <w:b/>
          <w:bCs/>
          <w:color w:val="538135" w:themeColor="accent6" w:themeShade="BF"/>
          <w:sz w:val="36"/>
          <w:szCs w:val="36"/>
          <w:rtl/>
        </w:rPr>
      </w:pPr>
      <w:r w:rsidRPr="00830474">
        <w:rPr>
          <w:rFonts w:ascii="Adobe Arabic" w:eastAsia="Times New Roman" w:hAnsi="Adobe Arabic" w:cs="Adobe Arabic" w:hint="cs"/>
          <w:b/>
          <w:bCs/>
          <w:color w:val="538135" w:themeColor="accent6" w:themeShade="BF"/>
          <w:sz w:val="36"/>
          <w:szCs w:val="36"/>
          <w:rtl/>
        </w:rPr>
        <w:t>مركز المعارف للمناهج والمتون التعليمية</w:t>
      </w:r>
    </w:p>
    <w:p w:rsidR="00830474" w:rsidRDefault="0083047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711A0" w:rsidRDefault="008711A0" w:rsidP="00830474">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2" w:name="_Toc155869498"/>
      <w:r w:rsidRPr="0064226D">
        <w:rPr>
          <w:rFonts w:ascii="Adobe Arabic" w:eastAsia="Times New Roman" w:hAnsi="Adobe Arabic" w:cs="Adobe Arabic"/>
          <w:b/>
          <w:bCs/>
          <w:color w:val="538135" w:themeColor="accent6" w:themeShade="BF"/>
          <w:sz w:val="40"/>
          <w:szCs w:val="40"/>
          <w:rtl/>
        </w:rPr>
        <w:t>الدرس الأوّل</w:t>
      </w:r>
      <w:r w:rsidR="0064226D">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مصطلحات ومبادئ تصوّريّة</w:t>
      </w:r>
      <w:r w:rsidR="0064226D">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(القرآن الكريم والسنّة)</w:t>
      </w:r>
      <w:bookmarkEnd w:id="2"/>
    </w:p>
    <w:p w:rsidR="00FE6F1F" w:rsidRPr="00FE6F1F" w:rsidRDefault="00FE6F1F" w:rsidP="001609BB">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FE6F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معنى لفظ "السنّة" في اللغة وأصل اشتقاقه.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المعاني التي استعمل فيها القرآن الكريم هذه المادّة.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يتعرّف معاني مصطلح "السنّة" في العلوم المختلفة.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4. يعرف المراد من "القرآن الكريم" ضمن هذا البحث.</w:t>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3" w:name="_Toc155869499"/>
      <w:r w:rsidRPr="00301758">
        <w:rPr>
          <w:rFonts w:ascii="Adobe Arabic" w:eastAsia="Times New Roman" w:hAnsi="Adobe Arabic" w:cs="Adobe Arabic"/>
          <w:b/>
          <w:bCs/>
          <w:color w:val="996633"/>
          <w:sz w:val="36"/>
          <w:szCs w:val="36"/>
          <w:rtl/>
        </w:rPr>
        <w:lastRenderedPageBreak/>
        <w:t>تمهيد</w:t>
      </w:r>
      <w:bookmarkEnd w:id="3"/>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الأسئلة الرئيسة التي سنُجيب عنها في هذا الدرس هي: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ما المراد من السنّة في اللغة؟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ما المراد من السنّة في الاصطلاح؟</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هل هناك حقيقة غيبيّة للقرآن الكريم وراء الوجود اللفظيّ؟</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4" w:name="_Toc155869500"/>
      <w:r w:rsidRPr="00301758">
        <w:rPr>
          <w:rFonts w:ascii="Adobe Arabic" w:eastAsia="Times New Roman" w:hAnsi="Adobe Arabic" w:cs="Adobe Arabic"/>
          <w:b/>
          <w:bCs/>
          <w:color w:val="996633"/>
          <w:sz w:val="36"/>
          <w:szCs w:val="36"/>
          <w:rtl/>
        </w:rPr>
        <w:t>السنّة في اللغة</w:t>
      </w:r>
      <w:bookmarkEnd w:id="4"/>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يظهر من تتبُّع كلمات اللغويّين، أنّ معنى لفظ "سنّة" في خصوص ما نحن فيه من البحث، هو "السيرة والطريقة، حسنةً كانت أو قبيحة"</w:t>
      </w:r>
      <w:r w:rsidR="00B91DFA">
        <w:rPr>
          <w:rStyle w:val="FootnoteReference"/>
          <w:rFonts w:ascii="Adobe Arabic" w:eastAsia="Times New Roman" w:hAnsi="Adobe Arabic" w:cs="Adobe Arabic"/>
          <w:color w:val="000000"/>
          <w:sz w:val="32"/>
          <w:szCs w:val="32"/>
          <w:rtl/>
        </w:rPr>
        <w:footnoteReference w:id="5"/>
      </w:r>
      <w:r w:rsidRPr="001609BB">
        <w:rPr>
          <w:rFonts w:ascii="Adobe Arabic" w:eastAsia="Times New Roman" w:hAnsi="Adobe Arabic" w:cs="Adobe Arabic"/>
          <w:color w:val="000000"/>
          <w:sz w:val="32"/>
          <w:szCs w:val="32"/>
          <w:rtl/>
        </w:rPr>
        <w:t>. وقد ورد في الحديث: "مَنْ سَنَّ فِي الْإِسْلَامِ سُنَّةً حَسَنَةً، فَعُمِلَ بِهَا بَعْدَ</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كُتِبَ لَهُ مِثْلُ أَجْرِ مَنْ عَمِلَ بِهَا، وَلَا يَنْقُصُ مِنْ أُجُورِهِمْ شَيْءٌ، وَمَنْ سَنَّ فِي الْإِسْلَامِ سُنَّةً سَيِّئَةً، فَعُمِلَ بِهَا بَعْدَ</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كُتِبَ عَلَيْهِ مِثْلُ وِزْرِ مَنْ عَمِلَ بِهَا، وَلَا يَنْقُصُ مِنْ أَوْزَارِهِمْ شَيْءٌ"</w:t>
      </w:r>
      <w:r w:rsidR="00B91DFA">
        <w:rPr>
          <w:rStyle w:val="FootnoteReference"/>
          <w:rFonts w:ascii="Adobe Arabic" w:eastAsia="Times New Roman" w:hAnsi="Adobe Arabic" w:cs="Adobe Arabic"/>
          <w:color w:val="000000"/>
          <w:sz w:val="32"/>
          <w:szCs w:val="32"/>
          <w:rtl/>
        </w:rPr>
        <w:footnoteReference w:id="6"/>
      </w:r>
      <w:r w:rsidRPr="001609BB">
        <w:rPr>
          <w:rFonts w:ascii="Adobe Arabic" w:eastAsia="Times New Roman" w:hAnsi="Adobe Arabic" w:cs="Adobe Arabic"/>
          <w:color w:val="000000"/>
          <w:sz w:val="32"/>
          <w:szCs w:val="32"/>
          <w:rtl/>
        </w:rPr>
        <w:t>.</w:t>
      </w:r>
    </w:p>
    <w:p w:rsidR="00B91DE9"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وفي الفرق بين العادة والسنّة: "أنّ العادة ما يديم الانسان فعله من قبل نفسه، </w:t>
      </w:r>
    </w:p>
    <w:p w:rsidR="00B91DE9" w:rsidRDefault="00B91D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والسنّة تكون على مثال سبق"</w:t>
      </w:r>
      <w:r w:rsidR="00B91DFA">
        <w:rPr>
          <w:rStyle w:val="FootnoteReference"/>
          <w:rFonts w:ascii="Adobe Arabic" w:eastAsia="Times New Roman" w:hAnsi="Adobe Arabic" w:cs="Adobe Arabic"/>
          <w:color w:val="000000"/>
          <w:sz w:val="32"/>
          <w:szCs w:val="32"/>
          <w:rtl/>
        </w:rPr>
        <w:footnoteReference w:id="7"/>
      </w:r>
      <w:r w:rsidRPr="001609BB">
        <w:rPr>
          <w:rFonts w:ascii="Adobe Arabic" w:eastAsia="Times New Roman" w:hAnsi="Adobe Arabic" w:cs="Adobe Arabic"/>
          <w:color w:val="000000"/>
          <w:sz w:val="32"/>
          <w:szCs w:val="32"/>
          <w:rtl/>
        </w:rPr>
        <w:t>. لذا، نقل صاحب اللسان عن شمر</w:t>
      </w:r>
      <w:r w:rsidR="00B91DFA">
        <w:rPr>
          <w:rStyle w:val="FootnoteReference"/>
          <w:rFonts w:ascii="Adobe Arabic" w:eastAsia="Times New Roman" w:hAnsi="Adobe Arabic" w:cs="Adobe Arabic"/>
          <w:color w:val="000000"/>
          <w:sz w:val="32"/>
          <w:szCs w:val="32"/>
          <w:rtl/>
        </w:rPr>
        <w:footnoteReference w:id="8"/>
      </w:r>
      <w:r w:rsidRPr="001609BB">
        <w:rPr>
          <w:rFonts w:ascii="Adobe Arabic" w:eastAsia="Times New Roman" w:hAnsi="Adobe Arabic" w:cs="Adobe Arabic"/>
          <w:color w:val="000000"/>
          <w:sz w:val="32"/>
          <w:szCs w:val="32"/>
          <w:rtl/>
        </w:rPr>
        <w:t>، أنّ السنّة في الأصل سنّة الطريق، وهو طريقٌ سنَّه أوائل الناس، فصار مسلكًا لمن بعدهم. وسَنَّ فلانٌ طريقًا من الخير، يسنّه، إذا ابتدأ أمرًا من البرّ لم يعرفه قومه، فاستسنوا به وسلكوه</w:t>
      </w:r>
      <w:r w:rsidR="00B91DFA">
        <w:rPr>
          <w:rStyle w:val="FootnoteReference"/>
          <w:rFonts w:ascii="Adobe Arabic" w:eastAsia="Times New Roman" w:hAnsi="Adobe Arabic" w:cs="Adobe Arabic"/>
          <w:color w:val="000000"/>
          <w:sz w:val="32"/>
          <w:szCs w:val="32"/>
          <w:rtl/>
        </w:rPr>
        <w:footnoteReference w:id="9"/>
      </w:r>
      <w:r w:rsidRPr="001609BB">
        <w:rPr>
          <w:rFonts w:ascii="Adobe Arabic" w:eastAsia="Times New Roman" w:hAnsi="Adobe Arabic" w:cs="Adobe Arabic"/>
          <w:color w:val="000000"/>
          <w:sz w:val="32"/>
          <w:szCs w:val="32"/>
          <w:rtl/>
        </w:rPr>
        <w:t>.</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5" w:name="_Toc155869501"/>
      <w:r w:rsidRPr="00301758">
        <w:rPr>
          <w:rFonts w:ascii="Adobe Arabic" w:eastAsia="Times New Roman" w:hAnsi="Adobe Arabic" w:cs="Adobe Arabic"/>
          <w:b/>
          <w:bCs/>
          <w:color w:val="996633"/>
          <w:sz w:val="36"/>
          <w:szCs w:val="36"/>
          <w:rtl/>
        </w:rPr>
        <w:t>السنّة في القرآن</w:t>
      </w:r>
      <w:bookmarkEnd w:id="5"/>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أمّا معاني لفظ "السنّة" في القرآن الكريم، فإنّا حين نستقرئ آيات الكتاب الكريم، نجد أنَّ المادّة (س ن ن) قد وردت في تسعة مواضع من السور المكّيَّة، وفي عشر آيات من السور المدنيَّة؛ ولدى استقرائها ودراستها في مواضعها من الآيات والسور، يتَّضح لنا أنَّ القرآن المجيد قَدِ اسْتَعْمَلَ</w:t>
      </w:r>
      <w:r w:rsidR="00B91DFA">
        <w:rPr>
          <w:rStyle w:val="FootnoteReference"/>
          <w:rFonts w:ascii="Adobe Arabic" w:eastAsia="Times New Roman" w:hAnsi="Adobe Arabic" w:cs="Adobe Arabic"/>
          <w:color w:val="000000"/>
          <w:sz w:val="32"/>
          <w:szCs w:val="32"/>
          <w:rtl/>
        </w:rPr>
        <w:footnoteReference w:id="10"/>
      </w:r>
      <w:r w:rsidRPr="001609BB">
        <w:rPr>
          <w:rFonts w:ascii="Adobe Arabic" w:eastAsia="Times New Roman" w:hAnsi="Adobe Arabic" w:cs="Adobe Arabic"/>
          <w:color w:val="000000"/>
          <w:sz w:val="32"/>
          <w:szCs w:val="32"/>
          <w:rtl/>
        </w:rPr>
        <w:t> هَذِهِ المَادَّةَ تارةً في القوانين الكَوْنِيَّةِ والاجتماعيَّة، التي على الرغم من تكرُّر مفردات أحداثها بصيغ مختلفة، غير أنّها تبقى هي الحاكمة كقانون واحد لا يقبل التغيّر والتحوّل؛ واستُعمِلَت أخرى في طريقة تشريع الله تعالى لفروع الشرائع، فنبّه القرآن الكريم على أنّها تنبع من منبع واحد، وغاية واحدة هي تطهير الإنسان والهداية إلى سبيله تعالى.</w:t>
      </w:r>
    </w:p>
    <w:p w:rsidR="00B91DE9" w:rsidRDefault="00BD4C4D" w:rsidP="00B91DFA">
      <w:pPr>
        <w:bidi/>
        <w:spacing w:before="100" w:beforeAutospacing="1" w:after="100" w:afterAutospacing="1" w:line="240" w:lineRule="auto"/>
        <w:jc w:val="both"/>
        <w:rPr>
          <w:rFonts w:ascii="Traditional Arabic" w:eastAsia="Times New Roman" w:hAnsi="Traditional Arabic" w:cs="Traditional Arabic"/>
          <w:b/>
          <w:bCs/>
          <w:color w:val="538135" w:themeColor="accent6" w:themeShade="BF"/>
          <w:sz w:val="32"/>
          <w:szCs w:val="32"/>
          <w:rtl/>
        </w:rPr>
      </w:pPr>
      <w:r w:rsidRPr="001609BB">
        <w:rPr>
          <w:rFonts w:ascii="Adobe Arabic" w:eastAsia="Times New Roman" w:hAnsi="Adobe Arabic" w:cs="Adobe Arabic"/>
          <w:color w:val="000000"/>
          <w:sz w:val="32"/>
          <w:szCs w:val="32"/>
          <w:rtl/>
        </w:rPr>
        <w:t>أمّا المعنى الأوّل، فيمكن استنتاجه من الآيات: </w:t>
      </w:r>
      <w:r w:rsidRPr="000D4298">
        <w:rPr>
          <w:rFonts w:ascii="Traditional Arabic" w:eastAsia="Times New Roman" w:hAnsi="Traditional Arabic" w:cs="Traditional Arabic"/>
          <w:b/>
          <w:bCs/>
          <w:color w:val="538135" w:themeColor="accent6" w:themeShade="BF"/>
          <w:sz w:val="32"/>
          <w:szCs w:val="32"/>
          <w:rtl/>
        </w:rPr>
        <w:t>﴿قُل لِّلَّذِينَ كَفَرُوٓاْ إِن يَنتَهُواْ يُغ</w:t>
      </w:r>
      <w:r w:rsidRPr="000D4298">
        <w:rPr>
          <w:rFonts w:ascii="Traditional Arabic" w:eastAsia="Times New Roman" w:hAnsi="Traditional Arabic" w:cs="Traditional Arabic" w:hint="cs"/>
          <w:b/>
          <w:bCs/>
          <w:color w:val="538135" w:themeColor="accent6" w:themeShade="BF"/>
          <w:sz w:val="32"/>
          <w:szCs w:val="32"/>
          <w:rtl/>
        </w:rPr>
        <w:t>ۡفَرۡ</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لَهُم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قَدۡ</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سَلَفَ</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وَإِن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يَعُودُواْ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فَقَدۡ</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مَضَتۡ</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سُنَّتُ</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ٱلۡأَوَّلِينَ﴾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1"/>
      </w:r>
      <w:r w:rsidRPr="001609BB">
        <w:rPr>
          <w:rFonts w:ascii="Adobe Arabic" w:eastAsia="Times New Roman" w:hAnsi="Adobe Arabic" w:cs="Adobe Arabic"/>
          <w:color w:val="000000"/>
          <w:sz w:val="32"/>
          <w:szCs w:val="32"/>
          <w:rtl/>
        </w:rPr>
        <w:t>، </w:t>
      </w:r>
      <w:r w:rsidRPr="000D4298">
        <w:rPr>
          <w:rFonts w:ascii="Traditional Arabic" w:eastAsia="Times New Roman" w:hAnsi="Traditional Arabic" w:cs="Traditional Arabic"/>
          <w:b/>
          <w:bCs/>
          <w:color w:val="538135" w:themeColor="accent6" w:themeShade="BF"/>
          <w:sz w:val="32"/>
          <w:szCs w:val="32"/>
          <w:rtl/>
        </w:rPr>
        <w:t>﴿</w:t>
      </w:r>
      <w:r w:rsidR="00B91DE9">
        <w:rPr>
          <w:rFonts w:ascii="Traditional Arabic" w:eastAsia="Times New Roman" w:hAnsi="Traditional Arabic" w:cs="Traditional Arabic" w:hint="cs"/>
          <w:b/>
          <w:bCs/>
          <w:color w:val="538135" w:themeColor="accent6" w:themeShade="BF"/>
          <w:sz w:val="32"/>
          <w:szCs w:val="32"/>
          <w:rtl/>
        </w:rPr>
        <w:t>لا</w:t>
      </w:r>
      <w:r w:rsidRPr="000D4298">
        <w:rPr>
          <w:rFonts w:ascii="Traditional Arabic" w:eastAsia="Times New Roman" w:hAnsi="Traditional Arabic" w:cs="Traditional Arabic"/>
          <w:b/>
          <w:bCs/>
          <w:color w:val="538135" w:themeColor="accent6" w:themeShade="BF"/>
          <w:sz w:val="32"/>
          <w:szCs w:val="32"/>
          <w:rtl/>
        </w:rPr>
        <w:t> يُؤ</w:t>
      </w:r>
      <w:r w:rsidRPr="000D4298">
        <w:rPr>
          <w:rFonts w:ascii="Traditional Arabic" w:eastAsia="Times New Roman" w:hAnsi="Traditional Arabic" w:cs="Traditional Arabic" w:hint="cs"/>
          <w:b/>
          <w:bCs/>
          <w:color w:val="538135" w:themeColor="accent6" w:themeShade="BF"/>
          <w:sz w:val="32"/>
          <w:szCs w:val="32"/>
          <w:rtl/>
        </w:rPr>
        <w:t>ۡمِنُونَ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بِهِۦ</w:t>
      </w:r>
      <w:r w:rsidRPr="000D4298">
        <w:rPr>
          <w:rFonts w:ascii="Traditional Arabic" w:eastAsia="Times New Roman" w:hAnsi="Traditional Arabic" w:cs="Traditional Arabic"/>
          <w:b/>
          <w:bCs/>
          <w:color w:val="538135" w:themeColor="accent6" w:themeShade="BF"/>
          <w:sz w:val="32"/>
          <w:szCs w:val="32"/>
          <w:rtl/>
        </w:rPr>
        <w:t xml:space="preserve"> </w:t>
      </w:r>
    </w:p>
    <w:p w:rsidR="00B91DE9" w:rsidRDefault="00B91DE9">
      <w:pPr>
        <w:rPr>
          <w:rFonts w:ascii="Traditional Arabic" w:eastAsia="Times New Roman" w:hAnsi="Traditional Arabic" w:cs="Traditional Arabic"/>
          <w:b/>
          <w:bCs/>
          <w:color w:val="538135" w:themeColor="accent6" w:themeShade="BF"/>
          <w:sz w:val="32"/>
          <w:szCs w:val="32"/>
          <w:rtl/>
        </w:rPr>
      </w:pPr>
      <w:r>
        <w:rPr>
          <w:rFonts w:ascii="Traditional Arabic" w:eastAsia="Times New Roman" w:hAnsi="Traditional Arabic" w:cs="Traditional Arabic"/>
          <w:b/>
          <w:bCs/>
          <w:color w:val="538135" w:themeColor="accent6" w:themeShade="BF"/>
          <w:sz w:val="32"/>
          <w:szCs w:val="32"/>
          <w:rtl/>
        </w:rPr>
        <w:br w:type="page"/>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D4298">
        <w:rPr>
          <w:rFonts w:ascii="Traditional Arabic" w:eastAsia="Times New Roman" w:hAnsi="Traditional Arabic" w:cs="Traditional Arabic" w:hint="cs"/>
          <w:b/>
          <w:bCs/>
          <w:color w:val="538135" w:themeColor="accent6" w:themeShade="BF"/>
          <w:sz w:val="32"/>
          <w:szCs w:val="32"/>
          <w:rtl/>
        </w:rPr>
        <w:lastRenderedPageBreak/>
        <w:t>وَقَدۡ</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خَلَتۡ</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سُنَّةُ</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ٱلۡأَوَّلِينَ﴾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2"/>
      </w:r>
      <w:r w:rsidRPr="000D4298">
        <w:rPr>
          <w:rFonts w:ascii="Traditional Arabic" w:eastAsia="Times New Roman" w:hAnsi="Traditional Arabic" w:cs="Traditional Arabic"/>
          <w:b/>
          <w:bCs/>
          <w:color w:val="538135" w:themeColor="accent6" w:themeShade="BF"/>
          <w:sz w:val="32"/>
          <w:szCs w:val="32"/>
          <w:rtl/>
        </w:rPr>
        <w:t>، ﴿وَإِن كَادُواْ لَيَس</w:t>
      </w:r>
      <w:r w:rsidRPr="000D4298">
        <w:rPr>
          <w:rFonts w:ascii="Traditional Arabic" w:eastAsia="Times New Roman" w:hAnsi="Traditional Arabic" w:cs="Traditional Arabic" w:hint="cs"/>
          <w:b/>
          <w:bCs/>
          <w:color w:val="538135" w:themeColor="accent6" w:themeShade="BF"/>
          <w:sz w:val="32"/>
          <w:szCs w:val="32"/>
          <w:rtl/>
        </w:rPr>
        <w:t>ۡتَفِزُّونَكَ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 </w:t>
      </w:r>
      <w:r w:rsidR="00B91DE9">
        <w:rPr>
          <w:rFonts w:ascii="Traditional Arabic" w:eastAsia="Times New Roman" w:hAnsi="Traditional Arabic" w:cs="Traditional Arabic" w:hint="cs"/>
          <w:b/>
          <w:bCs/>
          <w:color w:val="538135" w:themeColor="accent6" w:themeShade="BF"/>
          <w:sz w:val="32"/>
          <w:szCs w:val="32"/>
          <w:rtl/>
        </w:rPr>
        <w:t>الأرض ليخرجوك</w:t>
      </w:r>
      <w:r w:rsidRPr="000D4298">
        <w:rPr>
          <w:rFonts w:ascii="Traditional Arabic" w:eastAsia="Times New Roman" w:hAnsi="Traditional Arabic" w:cs="Traditional Arabic"/>
          <w:b/>
          <w:bCs/>
          <w:color w:val="538135" w:themeColor="accent6" w:themeShade="BF"/>
          <w:sz w:val="32"/>
          <w:szCs w:val="32"/>
          <w:rtl/>
        </w:rPr>
        <w:t> مِن</w:t>
      </w:r>
      <w:r w:rsidRPr="000D4298">
        <w:rPr>
          <w:rFonts w:ascii="Traditional Arabic" w:eastAsia="Times New Roman" w:hAnsi="Traditional Arabic" w:cs="Traditional Arabic" w:hint="cs"/>
          <w:b/>
          <w:bCs/>
          <w:color w:val="538135" w:themeColor="accent6" w:themeShade="BF"/>
          <w:sz w:val="32"/>
          <w:szCs w:val="32"/>
          <w:rtl/>
        </w:rPr>
        <w:t>ۡهَاۖ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وَإِذا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يَلۡبَثُونَ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خِلَٰفَكَ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قَلِيلا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٧٦</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سُنَّةَ</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قَدۡ</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أَرۡسَلۡنَا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قَبۡلَكَ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رُّسُلِنَاۖ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تَجِدُ</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لِسُنَّتِنَا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تَحۡوِيلًا﴾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3"/>
      </w:r>
      <w:r w:rsidRPr="001609BB">
        <w:rPr>
          <w:rFonts w:ascii="Adobe Arabic" w:eastAsia="Times New Roman" w:hAnsi="Adobe Arabic" w:cs="Adobe Arabic"/>
          <w:color w:val="000000"/>
          <w:sz w:val="32"/>
          <w:szCs w:val="32"/>
          <w:rtl/>
        </w:rPr>
        <w:t>، </w:t>
      </w:r>
      <w:r w:rsidRPr="000D4298">
        <w:rPr>
          <w:rFonts w:ascii="Traditional Arabic" w:eastAsia="Times New Roman" w:hAnsi="Traditional Arabic" w:cs="Traditional Arabic"/>
          <w:b/>
          <w:bCs/>
          <w:color w:val="538135" w:themeColor="accent6" w:themeShade="BF"/>
          <w:sz w:val="32"/>
          <w:szCs w:val="32"/>
          <w:rtl/>
        </w:rPr>
        <w:t>﴿وَمَا مَنَعَ ٱلنَّاسَ أَن يُؤ</w:t>
      </w:r>
      <w:r w:rsidRPr="000D4298">
        <w:rPr>
          <w:rFonts w:ascii="Traditional Arabic" w:eastAsia="Times New Roman" w:hAnsi="Traditional Arabic" w:cs="Traditional Arabic" w:hint="cs"/>
          <w:b/>
          <w:bCs/>
          <w:color w:val="538135" w:themeColor="accent6" w:themeShade="BF"/>
          <w:sz w:val="32"/>
          <w:szCs w:val="32"/>
          <w:rtl/>
        </w:rPr>
        <w:t>ۡمِنُوٓاْ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إِذۡ</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جَآءَهُمُ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ٱلۡهُ</w:t>
      </w:r>
      <w:r w:rsidRPr="000D4298">
        <w:rPr>
          <w:rFonts w:ascii="Traditional Arabic" w:eastAsia="Times New Roman" w:hAnsi="Traditional Arabic" w:cs="Traditional Arabic"/>
          <w:b/>
          <w:bCs/>
          <w:color w:val="538135" w:themeColor="accent6" w:themeShade="BF"/>
          <w:sz w:val="32"/>
          <w:szCs w:val="32"/>
          <w:rtl/>
        </w:rPr>
        <w:t>دَىٰ وَيَس</w:t>
      </w:r>
      <w:r w:rsidRPr="000D4298">
        <w:rPr>
          <w:rFonts w:ascii="Traditional Arabic" w:eastAsia="Times New Roman" w:hAnsi="Traditional Arabic" w:cs="Traditional Arabic" w:hint="cs"/>
          <w:b/>
          <w:bCs/>
          <w:color w:val="538135" w:themeColor="accent6" w:themeShade="BF"/>
          <w:sz w:val="32"/>
          <w:szCs w:val="32"/>
          <w:rtl/>
        </w:rPr>
        <w:t>ۡتَغۡفِرُواْ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رَبَّهُمۡ </w:t>
      </w:r>
      <w:r w:rsidR="002D47E9">
        <w:rPr>
          <w:rFonts w:ascii="Traditional Arabic" w:eastAsia="Times New Roman" w:hAnsi="Traditional Arabic" w:cs="Traditional Arabic" w:hint="cs"/>
          <w:b/>
          <w:bCs/>
          <w:color w:val="538135" w:themeColor="accent6" w:themeShade="BF"/>
          <w:sz w:val="32"/>
          <w:szCs w:val="32"/>
          <w:rtl/>
        </w:rPr>
        <w:t xml:space="preserve">إلا أن </w:t>
      </w:r>
      <w:r w:rsidRPr="000D4298">
        <w:rPr>
          <w:rFonts w:ascii="Traditional Arabic" w:eastAsia="Times New Roman" w:hAnsi="Traditional Arabic" w:cs="Traditional Arabic"/>
          <w:b/>
          <w:bCs/>
          <w:color w:val="538135" w:themeColor="accent6" w:themeShade="BF"/>
          <w:sz w:val="32"/>
          <w:szCs w:val="32"/>
          <w:rtl/>
        </w:rPr>
        <w:t>تَأ</w:t>
      </w:r>
      <w:r w:rsidRPr="000D4298">
        <w:rPr>
          <w:rFonts w:ascii="Traditional Arabic" w:eastAsia="Times New Roman" w:hAnsi="Traditional Arabic" w:cs="Traditional Arabic" w:hint="cs"/>
          <w:b/>
          <w:bCs/>
          <w:color w:val="538135" w:themeColor="accent6" w:themeShade="BF"/>
          <w:sz w:val="32"/>
          <w:szCs w:val="32"/>
          <w:rtl/>
        </w:rPr>
        <w:t>ۡتِيَهُمۡ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سُنَّةُ</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ٱلۡأَوَّلِينَ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أَوۡ</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يَأۡتِيَهُمُ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ٱلۡعَذَابُ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قُبُلا﴾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4"/>
      </w:r>
      <w:r w:rsidRPr="001609BB">
        <w:rPr>
          <w:rFonts w:ascii="Adobe Arabic" w:eastAsia="Times New Roman" w:hAnsi="Adobe Arabic" w:cs="Adobe Arabic"/>
          <w:color w:val="000000"/>
          <w:sz w:val="32"/>
          <w:szCs w:val="32"/>
          <w:rtl/>
        </w:rPr>
        <w:t>، </w:t>
      </w:r>
      <w:r w:rsidRPr="00516479">
        <w:rPr>
          <w:rFonts w:ascii="Traditional Arabic" w:eastAsia="Times New Roman" w:hAnsi="Traditional Arabic" w:cs="Traditional Arabic"/>
          <w:b/>
          <w:bCs/>
          <w:color w:val="538135" w:themeColor="accent6" w:themeShade="BF"/>
          <w:sz w:val="32"/>
          <w:szCs w:val="32"/>
          <w:rtl/>
        </w:rPr>
        <w:t>﴿لَّئِن لَّم</w:t>
      </w:r>
      <w:r w:rsidRPr="00516479">
        <w:rPr>
          <w:rFonts w:ascii="Traditional Arabic" w:eastAsia="Times New Roman" w:hAnsi="Traditional Arabic" w:cs="Traditional Arabic" w:hint="cs"/>
          <w:b/>
          <w:bCs/>
          <w:color w:val="538135" w:themeColor="accent6" w:themeShade="BF"/>
          <w:sz w:val="32"/>
          <w:szCs w:val="32"/>
          <w:rtl/>
        </w:rPr>
        <w:t>ۡ</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يَنتَهِ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ٱلۡمُنَٰفِقُونَ</w:t>
      </w:r>
      <w:r w:rsidR="002D47E9" w:rsidRPr="00516479">
        <w:rPr>
          <w:rFonts w:ascii="Traditional Arabic" w:eastAsia="Times New Roman" w:hAnsi="Traditional Arabic" w:cs="Traditional Arabic" w:hint="cs"/>
          <w:b/>
          <w:bCs/>
          <w:color w:val="538135" w:themeColor="accent6" w:themeShade="BF"/>
          <w:sz w:val="32"/>
          <w:szCs w:val="32"/>
          <w:rtl/>
        </w:rPr>
        <w:t xml:space="preserve"> والذين في</w:t>
      </w:r>
      <w:r w:rsidRPr="00516479">
        <w:rPr>
          <w:rFonts w:ascii="Traditional Arabic" w:eastAsia="Times New Roman" w:hAnsi="Traditional Arabic" w:cs="Traditional Arabic" w:hint="cs"/>
          <w:b/>
          <w:bCs/>
          <w:color w:val="538135" w:themeColor="accent6" w:themeShade="BF"/>
          <w:sz w:val="32"/>
          <w:szCs w:val="32"/>
          <w:rtl/>
        </w:rPr>
        <w:t> </w:t>
      </w:r>
      <w:r w:rsidRPr="00516479">
        <w:rPr>
          <w:rFonts w:ascii="Traditional Arabic" w:eastAsia="Times New Roman" w:hAnsi="Traditional Arabic" w:cs="Traditional Arabic"/>
          <w:b/>
          <w:bCs/>
          <w:color w:val="538135" w:themeColor="accent6" w:themeShade="BF"/>
          <w:sz w:val="32"/>
          <w:szCs w:val="32"/>
          <w:rtl/>
        </w:rPr>
        <w:t xml:space="preserve">قُلُوبِهِم مَّرَض </w:t>
      </w:r>
      <w:r w:rsidRPr="00516479">
        <w:rPr>
          <w:rFonts w:ascii="Traditional Arabic" w:eastAsia="Times New Roman" w:hAnsi="Traditional Arabic" w:cs="Traditional Arabic" w:hint="cs"/>
          <w:b/>
          <w:bCs/>
          <w:color w:val="538135" w:themeColor="accent6" w:themeShade="BF"/>
          <w:sz w:val="32"/>
          <w:szCs w:val="32"/>
          <w:rtl/>
        </w:rPr>
        <w:t>وَٱلۡمُرۡجِفُونَ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فِي</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ٱلۡمَدِينَةِ</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لَنُغۡرِيَنَّكَ</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بِهِمۡ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ثُمَّ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يُجَاوِرُونَكَ</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فِيهَآ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إِلَّا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قَلِيلا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٦٠</w:t>
      </w:r>
      <w:r w:rsidR="00516479" w:rsidRPr="00516479">
        <w:rPr>
          <w:rFonts w:ascii="Traditional Arabic" w:eastAsia="Times New Roman" w:hAnsi="Traditional Arabic" w:cs="Traditional Arabic" w:hint="cs"/>
          <w:b/>
          <w:bCs/>
          <w:color w:val="538135" w:themeColor="accent6" w:themeShade="BF"/>
          <w:sz w:val="32"/>
          <w:szCs w:val="32"/>
          <w:rtl/>
        </w:rPr>
        <w:t xml:space="preserve"> ملعونين</w:t>
      </w:r>
      <w:r w:rsidRPr="00516479">
        <w:rPr>
          <w:rFonts w:ascii="Traditional Arabic" w:eastAsia="Times New Roman" w:hAnsi="Traditional Arabic" w:cs="Traditional Arabic" w:hint="cs"/>
          <w:b/>
          <w:bCs/>
          <w:color w:val="538135" w:themeColor="accent6" w:themeShade="BF"/>
          <w:sz w:val="32"/>
          <w:szCs w:val="32"/>
          <w:rtl/>
        </w:rPr>
        <w:t> </w:t>
      </w:r>
      <w:r w:rsidRPr="00516479">
        <w:rPr>
          <w:rFonts w:ascii="Traditional Arabic" w:eastAsia="Times New Roman" w:hAnsi="Traditional Arabic" w:cs="Traditional Arabic"/>
          <w:b/>
          <w:bCs/>
          <w:color w:val="538135" w:themeColor="accent6" w:themeShade="BF"/>
          <w:sz w:val="32"/>
          <w:szCs w:val="32"/>
          <w:rtl/>
        </w:rPr>
        <w:t> أَي</w:t>
      </w:r>
      <w:r w:rsidRPr="00516479">
        <w:rPr>
          <w:rFonts w:ascii="Traditional Arabic" w:eastAsia="Times New Roman" w:hAnsi="Traditional Arabic" w:cs="Traditional Arabic" w:hint="cs"/>
          <w:b/>
          <w:bCs/>
          <w:color w:val="538135" w:themeColor="accent6" w:themeShade="BF"/>
          <w:sz w:val="32"/>
          <w:szCs w:val="32"/>
          <w:rtl/>
        </w:rPr>
        <w:t>ۡنَمَا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ثُقِفُوٓاْ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أُخِذُواْ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وَقُتِّل</w:t>
      </w:r>
      <w:r w:rsidRPr="00516479">
        <w:rPr>
          <w:rFonts w:ascii="Traditional Arabic" w:eastAsia="Times New Roman" w:hAnsi="Traditional Arabic" w:cs="Traditional Arabic"/>
          <w:b/>
          <w:bCs/>
          <w:color w:val="538135" w:themeColor="accent6" w:themeShade="BF"/>
          <w:sz w:val="32"/>
          <w:szCs w:val="32"/>
          <w:rtl/>
        </w:rPr>
        <w:t>ُواْ تَق</w:t>
      </w:r>
      <w:r w:rsidRPr="00516479">
        <w:rPr>
          <w:rFonts w:ascii="Traditional Arabic" w:eastAsia="Times New Roman" w:hAnsi="Traditional Arabic" w:cs="Traditional Arabic" w:hint="cs"/>
          <w:b/>
          <w:bCs/>
          <w:color w:val="538135" w:themeColor="accent6" w:themeShade="BF"/>
          <w:sz w:val="32"/>
          <w:szCs w:val="32"/>
          <w:rtl/>
        </w:rPr>
        <w:t>ۡتِيلا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٦١</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سُنَّةَ</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فِي</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ٱلَّذِينَ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خَلَوۡاْ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مِن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قَبۡلُۖ</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وَلَن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تَجِدَ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لِسُنَّةِ</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تَبۡدِيلا﴾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5"/>
      </w:r>
      <w:r w:rsidRPr="00516479">
        <w:rPr>
          <w:rFonts w:ascii="Adobe Arabic" w:eastAsia="Times New Roman" w:hAnsi="Adobe Arabic" w:cs="Adobe Arabic"/>
          <w:color w:val="000000"/>
          <w:sz w:val="32"/>
          <w:szCs w:val="32"/>
          <w:rtl/>
        </w:rPr>
        <w:t>، </w:t>
      </w:r>
      <w:r w:rsidRPr="00516479">
        <w:rPr>
          <w:rFonts w:ascii="Traditional Arabic" w:eastAsia="Times New Roman" w:hAnsi="Traditional Arabic" w:cs="Traditional Arabic"/>
          <w:b/>
          <w:bCs/>
          <w:color w:val="538135" w:themeColor="accent6" w:themeShade="BF"/>
          <w:sz w:val="32"/>
          <w:szCs w:val="32"/>
          <w:rtl/>
        </w:rPr>
        <w:t>﴿وَأَق</w:t>
      </w:r>
      <w:r w:rsidRPr="00516479">
        <w:rPr>
          <w:rFonts w:ascii="Traditional Arabic" w:eastAsia="Times New Roman" w:hAnsi="Traditional Arabic" w:cs="Traditional Arabic" w:hint="cs"/>
          <w:b/>
          <w:bCs/>
          <w:color w:val="538135" w:themeColor="accent6" w:themeShade="BF"/>
          <w:sz w:val="32"/>
          <w:szCs w:val="32"/>
          <w:rtl/>
        </w:rPr>
        <w:t>ۡسَمُواْ </w:t>
      </w:r>
      <w:r w:rsidR="00516479" w:rsidRPr="00516479">
        <w:rPr>
          <w:rFonts w:ascii="Traditional Arabic" w:eastAsia="Times New Roman" w:hAnsi="Traditional Arabic" w:cs="Traditional Arabic" w:hint="cs"/>
          <w:b/>
          <w:bCs/>
          <w:color w:val="538135" w:themeColor="accent6" w:themeShade="BF"/>
          <w:sz w:val="32"/>
          <w:szCs w:val="32"/>
          <w:rtl/>
        </w:rPr>
        <w:t>بالله</w:t>
      </w:r>
      <w:r w:rsidRPr="00516479">
        <w:rPr>
          <w:rFonts w:ascii="Traditional Arabic" w:eastAsia="Times New Roman" w:hAnsi="Traditional Arabic" w:cs="Traditional Arabic"/>
          <w:b/>
          <w:bCs/>
          <w:color w:val="538135" w:themeColor="accent6" w:themeShade="BF"/>
          <w:sz w:val="32"/>
          <w:szCs w:val="32"/>
          <w:rtl/>
        </w:rPr>
        <w:t xml:space="preserve"> جَه</w:t>
      </w:r>
      <w:r w:rsidRPr="00516479">
        <w:rPr>
          <w:rFonts w:ascii="Traditional Arabic" w:eastAsia="Times New Roman" w:hAnsi="Traditional Arabic" w:cs="Traditional Arabic" w:hint="cs"/>
          <w:b/>
          <w:bCs/>
          <w:color w:val="538135" w:themeColor="accent6" w:themeShade="BF"/>
          <w:sz w:val="32"/>
          <w:szCs w:val="32"/>
          <w:rtl/>
        </w:rPr>
        <w:t>ۡدَ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أَيۡمَٰنِهِمۡ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لَئِن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جَآءَهُمۡ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نَذِير</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لَّيَكُونُنَّ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أَهۡدَىٰ</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مِنۡ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إِحۡدَى</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ٱلۡأُمَمِۖ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فَلَمَّا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جَآءَهُمۡ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نَذِير</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مَّا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زَادَهُمۡ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إِلَّا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نُفُورًا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٤٢</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ٱسۡتِكۡبَارا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فِي</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ٱلۡأَرۡضِ</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w:t>
      </w:r>
      <w:r w:rsidRPr="00516479">
        <w:rPr>
          <w:rFonts w:ascii="Traditional Arabic" w:eastAsia="Times New Roman" w:hAnsi="Traditional Arabic" w:cs="Traditional Arabic"/>
          <w:b/>
          <w:bCs/>
          <w:color w:val="538135" w:themeColor="accent6" w:themeShade="BF"/>
          <w:sz w:val="32"/>
          <w:szCs w:val="32"/>
          <w:rtl/>
        </w:rPr>
        <w:t>َمَك</w:t>
      </w:r>
      <w:r w:rsidRPr="00516479">
        <w:rPr>
          <w:rFonts w:ascii="Traditional Arabic" w:eastAsia="Times New Roman" w:hAnsi="Traditional Arabic" w:cs="Traditional Arabic" w:hint="cs"/>
          <w:b/>
          <w:bCs/>
          <w:color w:val="538135" w:themeColor="accent6" w:themeShade="BF"/>
          <w:sz w:val="32"/>
          <w:szCs w:val="32"/>
          <w:rtl/>
        </w:rPr>
        <w:t>ۡرَ</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ٱلسَّيِّيِٕۚ</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يَحِيقُ</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ٱلۡمَكۡرُ</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ٱلسَّيِّئُ</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إِلَّا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بِأَهۡلِهِۦۚ</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فَهَلۡ</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يَنظُرُونَ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إِلَّا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سُنَّتَ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ٱلۡأَوَّلِينَۚ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فَلَن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تَجِدَ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لِسُنَّتِ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تَبۡدِيلاۖ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وَلَن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تَجِدَ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لِسُنَّتِ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تَحۡوِيلًا﴾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6"/>
      </w:r>
      <w:r w:rsidRPr="00516479">
        <w:rPr>
          <w:rFonts w:ascii="Adobe Arabic" w:eastAsia="Times New Roman" w:hAnsi="Adobe Arabic" w:cs="Adobe Arabic"/>
          <w:color w:val="000000"/>
          <w:sz w:val="32"/>
          <w:szCs w:val="32"/>
          <w:rtl/>
        </w:rPr>
        <w:t>، </w:t>
      </w:r>
      <w:r w:rsidRPr="00516479">
        <w:rPr>
          <w:rFonts w:ascii="Traditional Arabic" w:eastAsia="Times New Roman" w:hAnsi="Traditional Arabic" w:cs="Traditional Arabic"/>
          <w:b/>
          <w:bCs/>
          <w:color w:val="538135" w:themeColor="accent6" w:themeShade="BF"/>
          <w:sz w:val="32"/>
          <w:szCs w:val="32"/>
          <w:rtl/>
        </w:rPr>
        <w:t>﴿فَلَم</w:t>
      </w:r>
      <w:r w:rsidRPr="00516479">
        <w:rPr>
          <w:rFonts w:ascii="Traditional Arabic" w:eastAsia="Times New Roman" w:hAnsi="Traditional Arabic" w:cs="Traditional Arabic" w:hint="cs"/>
          <w:b/>
          <w:bCs/>
          <w:color w:val="538135" w:themeColor="accent6" w:themeShade="BF"/>
          <w:sz w:val="32"/>
          <w:szCs w:val="32"/>
          <w:rtl/>
        </w:rPr>
        <w:t>ۡ</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يَكُ</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يَنفَعُهُمۡ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إِيمَٰنُهُمۡ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لَمَّا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رَأَوۡاْ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بَأۡسَنَاۖ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سُنَّتَ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ٱلَّتِي</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خَلَتۡ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فِي</w:t>
      </w:r>
      <w:r w:rsidRPr="00516479">
        <w:rPr>
          <w:rFonts w:ascii="Traditional Arabic" w:eastAsia="Times New Roman" w:hAnsi="Traditional Arabic" w:cs="Traditional Arabic"/>
          <w:b/>
          <w:bCs/>
          <w:color w:val="538135" w:themeColor="accent6" w:themeShade="BF"/>
          <w:sz w:val="32"/>
          <w:szCs w:val="32"/>
          <w:rtl/>
        </w:rPr>
        <w:t xml:space="preserve"> عِبَادِهِ</w:t>
      </w:r>
      <w:r w:rsidRPr="00516479">
        <w:rPr>
          <w:rFonts w:ascii="Traditional Arabic" w:eastAsia="Times New Roman" w:hAnsi="Traditional Arabic" w:cs="Traditional Arabic" w:hint="cs"/>
          <w:b/>
          <w:bCs/>
          <w:color w:val="538135" w:themeColor="accent6" w:themeShade="BF"/>
          <w:sz w:val="32"/>
          <w:szCs w:val="32"/>
          <w:rtl/>
        </w:rPr>
        <w:t>ۦۖ</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وَخَسِرَ</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هُنَالِكَ</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ٱلۡكَٰفِرُونَ﴾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7"/>
      </w:r>
      <w:r w:rsidRPr="00516479">
        <w:rPr>
          <w:rFonts w:ascii="Adobe Arabic" w:eastAsia="Times New Roman" w:hAnsi="Adobe Arabic" w:cs="Adobe Arabic"/>
          <w:color w:val="000000"/>
          <w:sz w:val="32"/>
          <w:szCs w:val="32"/>
          <w:rtl/>
        </w:rPr>
        <w:t>، </w:t>
      </w:r>
      <w:r w:rsidRPr="00516479">
        <w:rPr>
          <w:rFonts w:ascii="Traditional Arabic" w:eastAsia="Times New Roman" w:hAnsi="Traditional Arabic" w:cs="Traditional Arabic"/>
          <w:b/>
          <w:bCs/>
          <w:color w:val="538135" w:themeColor="accent6" w:themeShade="BF"/>
          <w:sz w:val="32"/>
          <w:szCs w:val="32"/>
          <w:rtl/>
        </w:rPr>
        <w:t>﴿وَلَو</w:t>
      </w:r>
      <w:r w:rsidRPr="00516479">
        <w:rPr>
          <w:rFonts w:ascii="Traditional Arabic" w:eastAsia="Times New Roman" w:hAnsi="Traditional Arabic" w:cs="Traditional Arabic" w:hint="cs"/>
          <w:b/>
          <w:bCs/>
          <w:color w:val="538135" w:themeColor="accent6" w:themeShade="BF"/>
          <w:sz w:val="32"/>
          <w:szCs w:val="32"/>
          <w:rtl/>
        </w:rPr>
        <w:t>ۡ</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قَٰتَ</w:t>
      </w:r>
      <w:r w:rsidRPr="00516479">
        <w:rPr>
          <w:rFonts w:ascii="Traditional Arabic" w:eastAsia="Times New Roman" w:hAnsi="Traditional Arabic" w:cs="Traditional Arabic"/>
          <w:b/>
          <w:bCs/>
          <w:color w:val="538135" w:themeColor="accent6" w:themeShade="BF"/>
          <w:sz w:val="32"/>
          <w:szCs w:val="32"/>
          <w:rtl/>
        </w:rPr>
        <w:t>لَكُمُ </w:t>
      </w:r>
      <w:r w:rsidR="00516479" w:rsidRPr="00516479">
        <w:rPr>
          <w:rFonts w:ascii="Traditional Arabic" w:eastAsia="Times New Roman" w:hAnsi="Traditional Arabic" w:cs="Traditional Arabic" w:hint="cs"/>
          <w:b/>
          <w:bCs/>
          <w:color w:val="538135" w:themeColor="accent6" w:themeShade="BF"/>
          <w:sz w:val="32"/>
          <w:szCs w:val="32"/>
          <w:rtl/>
        </w:rPr>
        <w:t xml:space="preserve">الذين </w:t>
      </w:r>
      <w:r w:rsidRPr="00516479">
        <w:rPr>
          <w:rFonts w:ascii="Traditional Arabic" w:eastAsia="Times New Roman" w:hAnsi="Traditional Arabic" w:cs="Traditional Arabic"/>
          <w:b/>
          <w:bCs/>
          <w:color w:val="538135" w:themeColor="accent6" w:themeShade="BF"/>
          <w:sz w:val="32"/>
          <w:szCs w:val="32"/>
          <w:rtl/>
        </w:rPr>
        <w:t>كَفَرُواْ لَوَلَّوُاْ ٱل</w:t>
      </w:r>
      <w:r w:rsidRPr="00516479">
        <w:rPr>
          <w:rFonts w:ascii="Traditional Arabic" w:eastAsia="Times New Roman" w:hAnsi="Traditional Arabic" w:cs="Traditional Arabic" w:hint="cs"/>
          <w:b/>
          <w:bCs/>
          <w:color w:val="538135" w:themeColor="accent6" w:themeShade="BF"/>
          <w:sz w:val="32"/>
          <w:szCs w:val="32"/>
          <w:rtl/>
        </w:rPr>
        <w:t>ۡأَدۡبَٰرَ</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ثُمَّ</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يَجِدُونَ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وَلِيّا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وَلَا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نَصِيرا</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٢٢</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سُنَّةَ</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ٱلَّتِي</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خَلَتۡ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مِن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قَبۡلُۖ</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وَلَن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تَجِدَ</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لِسُنَّةِ</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ٱللَّهِ</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تَبۡدِيلا﴾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8"/>
      </w:r>
      <w:r w:rsidRPr="00516479">
        <w:rPr>
          <w:rFonts w:ascii="Adobe Arabic" w:eastAsia="Times New Roman" w:hAnsi="Adobe Arabic" w:cs="Adobe Arabic"/>
          <w:color w:val="000000"/>
          <w:sz w:val="32"/>
          <w:szCs w:val="32"/>
          <w:rtl/>
        </w:rPr>
        <w:t>، </w:t>
      </w:r>
      <w:r w:rsidRPr="00516479">
        <w:rPr>
          <w:rFonts w:ascii="Traditional Arabic" w:eastAsia="Times New Roman" w:hAnsi="Traditional Arabic" w:cs="Traditional Arabic"/>
          <w:b/>
          <w:bCs/>
          <w:color w:val="538135" w:themeColor="accent6" w:themeShade="BF"/>
          <w:sz w:val="32"/>
          <w:szCs w:val="32"/>
          <w:rtl/>
        </w:rPr>
        <w:t>﴿قَد</w:t>
      </w:r>
      <w:r w:rsidRPr="00516479">
        <w:rPr>
          <w:rFonts w:ascii="Traditional Arabic" w:eastAsia="Times New Roman" w:hAnsi="Traditional Arabic" w:cs="Traditional Arabic" w:hint="cs"/>
          <w:b/>
          <w:bCs/>
          <w:color w:val="538135" w:themeColor="accent6" w:themeShade="BF"/>
          <w:sz w:val="32"/>
          <w:szCs w:val="32"/>
          <w:rtl/>
        </w:rPr>
        <w:t>ۡ</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خَلَتۡ</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مِن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قَبۡلِكُمۡ </w:t>
      </w:r>
      <w:r w:rsidR="00516479" w:rsidRPr="00516479">
        <w:rPr>
          <w:rFonts w:ascii="Traditional Arabic" w:eastAsia="Times New Roman" w:hAnsi="Traditional Arabic" w:cs="Traditional Arabic" w:hint="cs"/>
          <w:b/>
          <w:bCs/>
          <w:color w:val="538135" w:themeColor="accent6" w:themeShade="BF"/>
          <w:sz w:val="32"/>
          <w:szCs w:val="32"/>
          <w:rtl/>
        </w:rPr>
        <w:t>سنن فسيروا في الأرض</w:t>
      </w:r>
      <w:r w:rsidRPr="00516479">
        <w:rPr>
          <w:rFonts w:ascii="Traditional Arabic" w:eastAsia="Times New Roman" w:hAnsi="Traditional Arabic" w:cs="Traditional Arabic"/>
          <w:b/>
          <w:bCs/>
          <w:color w:val="538135" w:themeColor="accent6" w:themeShade="BF"/>
          <w:sz w:val="32"/>
          <w:szCs w:val="32"/>
          <w:rtl/>
        </w:rPr>
        <w:t> فَٱنظُرُواْ كَي</w:t>
      </w:r>
      <w:r w:rsidRPr="00516479">
        <w:rPr>
          <w:rFonts w:ascii="Traditional Arabic" w:eastAsia="Times New Roman" w:hAnsi="Traditional Arabic" w:cs="Traditional Arabic" w:hint="cs"/>
          <w:b/>
          <w:bCs/>
          <w:color w:val="538135" w:themeColor="accent6" w:themeShade="BF"/>
          <w:sz w:val="32"/>
          <w:szCs w:val="32"/>
          <w:rtl/>
        </w:rPr>
        <w:t>ۡفَ</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كَانَ</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عَٰقِبَةُ</w:t>
      </w:r>
      <w:r w:rsidRPr="00516479">
        <w:rPr>
          <w:rFonts w:ascii="Traditional Arabic" w:eastAsia="Times New Roman" w:hAnsi="Traditional Arabic" w:cs="Traditional Arabic"/>
          <w:b/>
          <w:bCs/>
          <w:color w:val="538135" w:themeColor="accent6" w:themeShade="BF"/>
          <w:sz w:val="32"/>
          <w:szCs w:val="32"/>
          <w:rtl/>
        </w:rPr>
        <w:t xml:space="preserve"> </w:t>
      </w:r>
      <w:r w:rsidRPr="00516479">
        <w:rPr>
          <w:rFonts w:ascii="Traditional Arabic" w:eastAsia="Times New Roman" w:hAnsi="Traditional Arabic" w:cs="Traditional Arabic" w:hint="cs"/>
          <w:b/>
          <w:bCs/>
          <w:color w:val="538135" w:themeColor="accent6" w:themeShade="BF"/>
          <w:sz w:val="32"/>
          <w:szCs w:val="32"/>
          <w:rtl/>
        </w:rPr>
        <w:t>ٱلۡمُكَذِّبِينَ﴾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19"/>
      </w:r>
      <w:r w:rsidRPr="00516479">
        <w:rPr>
          <w:rFonts w:ascii="Adobe Arabic" w:eastAsia="Times New Roman" w:hAnsi="Adobe Arabic" w:cs="Adobe Arabic"/>
          <w:color w:val="000000"/>
          <w:sz w:val="32"/>
          <w:szCs w:val="32"/>
          <w:rtl/>
        </w:rPr>
        <w:t>.</w:t>
      </w:r>
    </w:p>
    <w:p w:rsidR="00064ACB" w:rsidRDefault="00BD4C4D" w:rsidP="00B91DFA">
      <w:pPr>
        <w:bidi/>
        <w:spacing w:before="100" w:beforeAutospacing="1" w:after="100" w:afterAutospacing="1" w:line="240" w:lineRule="auto"/>
        <w:jc w:val="both"/>
        <w:rPr>
          <w:rFonts w:ascii="Traditional Arabic" w:eastAsia="Times New Roman" w:hAnsi="Traditional Arabic" w:cs="Traditional Arabic"/>
          <w:b/>
          <w:bCs/>
          <w:color w:val="538135" w:themeColor="accent6" w:themeShade="BF"/>
          <w:sz w:val="32"/>
          <w:szCs w:val="32"/>
          <w:rtl/>
        </w:rPr>
      </w:pPr>
      <w:r w:rsidRPr="001609BB">
        <w:rPr>
          <w:rFonts w:ascii="Adobe Arabic" w:eastAsia="Times New Roman" w:hAnsi="Adobe Arabic" w:cs="Adobe Arabic"/>
          <w:color w:val="000000"/>
          <w:sz w:val="32"/>
          <w:szCs w:val="32"/>
          <w:rtl/>
        </w:rPr>
        <w:t>والآيات التي قد تشير إلى المعنى الثاني: </w:t>
      </w:r>
      <w:r w:rsidRPr="000D4298">
        <w:rPr>
          <w:rFonts w:ascii="Traditional Arabic" w:eastAsia="Times New Roman" w:hAnsi="Traditional Arabic" w:cs="Traditional Arabic"/>
          <w:b/>
          <w:bCs/>
          <w:color w:val="538135" w:themeColor="accent6" w:themeShade="BF"/>
          <w:sz w:val="32"/>
          <w:szCs w:val="32"/>
          <w:rtl/>
        </w:rPr>
        <w:t>﴿يُرِيدُ ٱللَّهُ لِيُبَيِّنَ لَكُم</w:t>
      </w:r>
      <w:r w:rsidRPr="000D4298">
        <w:rPr>
          <w:rFonts w:ascii="Traditional Arabic" w:eastAsia="Times New Roman" w:hAnsi="Traditional Arabic" w:cs="Traditional Arabic" w:hint="cs"/>
          <w:b/>
          <w:bCs/>
          <w:color w:val="538135" w:themeColor="accent6" w:themeShade="BF"/>
          <w:sz w:val="32"/>
          <w:szCs w:val="32"/>
          <w:rtl/>
        </w:rPr>
        <w:t>ۡ</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وَيَهۡدِيَكُمۡ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ٱلَّذِينَ</w:t>
      </w:r>
      <w:r w:rsidRPr="000D4298">
        <w:rPr>
          <w:rFonts w:ascii="Traditional Arabic" w:eastAsia="Times New Roman" w:hAnsi="Traditional Arabic" w:cs="Traditional Arabic"/>
          <w:b/>
          <w:bCs/>
          <w:color w:val="538135" w:themeColor="accent6" w:themeShade="BF"/>
          <w:sz w:val="32"/>
          <w:szCs w:val="32"/>
          <w:rtl/>
        </w:rPr>
        <w:t xml:space="preserve"> مِن قَب</w:t>
      </w:r>
      <w:r w:rsidRPr="000D4298">
        <w:rPr>
          <w:rFonts w:ascii="Traditional Arabic" w:eastAsia="Times New Roman" w:hAnsi="Traditional Arabic" w:cs="Traditional Arabic" w:hint="cs"/>
          <w:b/>
          <w:bCs/>
          <w:color w:val="538135" w:themeColor="accent6" w:themeShade="BF"/>
          <w:sz w:val="32"/>
          <w:szCs w:val="32"/>
          <w:rtl/>
        </w:rPr>
        <w:t>ۡلِكُمۡ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وَيَتُوبَ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عَلَيۡكُمۡۗ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عَلِيمٌ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حَكِيم﴾</w:t>
      </w:r>
      <w:r w:rsidR="00B91DFA">
        <w:rPr>
          <w:rStyle w:val="FootnoteReference"/>
          <w:rFonts w:ascii="Traditional Arabic" w:eastAsia="Times New Roman" w:hAnsi="Traditional Arabic" w:cs="Traditional Arabic"/>
          <w:b/>
          <w:bCs/>
          <w:color w:val="538135" w:themeColor="accent6" w:themeShade="BF"/>
          <w:sz w:val="32"/>
          <w:szCs w:val="32"/>
          <w:rtl/>
        </w:rPr>
        <w:footnoteReference w:id="20"/>
      </w:r>
      <w:r w:rsidR="00B91DFA">
        <w:rPr>
          <w:rFonts w:ascii="Traditional Arabic" w:eastAsia="Times New Roman" w:hAnsi="Traditional Arabic" w:cs="Traditional Arabic" w:hint="cs"/>
          <w:b/>
          <w:bCs/>
          <w:color w:val="538135" w:themeColor="accent6" w:themeShade="BF"/>
          <w:sz w:val="32"/>
          <w:szCs w:val="32"/>
          <w:rtl/>
        </w:rPr>
        <w:t>،</w:t>
      </w:r>
      <w:r w:rsidRPr="001609BB">
        <w:rPr>
          <w:rFonts w:ascii="Adobe Arabic" w:eastAsia="Times New Roman" w:hAnsi="Adobe Arabic" w:cs="Adobe Arabic"/>
          <w:color w:val="000000"/>
          <w:sz w:val="32"/>
          <w:szCs w:val="32"/>
          <w:rtl/>
        </w:rPr>
        <w:t> </w:t>
      </w:r>
      <w:r w:rsidRPr="000D4298">
        <w:rPr>
          <w:rFonts w:ascii="Traditional Arabic" w:eastAsia="Times New Roman" w:hAnsi="Traditional Arabic" w:cs="Traditional Arabic"/>
          <w:b/>
          <w:bCs/>
          <w:color w:val="538135" w:themeColor="accent6" w:themeShade="BF"/>
          <w:sz w:val="32"/>
          <w:szCs w:val="32"/>
          <w:rtl/>
        </w:rPr>
        <w:t>﴿وَإِذ</w:t>
      </w:r>
      <w:r w:rsidRPr="000D4298">
        <w:rPr>
          <w:rFonts w:ascii="Traditional Arabic" w:eastAsia="Times New Roman" w:hAnsi="Traditional Arabic" w:cs="Traditional Arabic" w:hint="cs"/>
          <w:b/>
          <w:bCs/>
          <w:color w:val="538135" w:themeColor="accent6" w:themeShade="BF"/>
          <w:sz w:val="32"/>
          <w:szCs w:val="32"/>
          <w:rtl/>
        </w:rPr>
        <w:t>ۡ</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تَقُولُ</w:t>
      </w:r>
      <w:r w:rsidR="00516479">
        <w:rPr>
          <w:rFonts w:ascii="Traditional Arabic" w:eastAsia="Times New Roman" w:hAnsi="Traditional Arabic" w:cs="Traditional Arabic" w:hint="cs"/>
          <w:b/>
          <w:bCs/>
          <w:color w:val="538135" w:themeColor="accent6" w:themeShade="BF"/>
          <w:sz w:val="32"/>
          <w:szCs w:val="32"/>
          <w:rtl/>
        </w:rPr>
        <w:t xml:space="preserve"> للذي</w:t>
      </w:r>
      <w:r w:rsidRPr="000D4298">
        <w:rPr>
          <w:rFonts w:ascii="Traditional Arabic" w:eastAsia="Times New Roman" w:hAnsi="Traditional Arabic" w:cs="Traditional Arabic"/>
          <w:b/>
          <w:bCs/>
          <w:color w:val="538135" w:themeColor="accent6" w:themeShade="BF"/>
          <w:sz w:val="32"/>
          <w:szCs w:val="32"/>
          <w:rtl/>
        </w:rPr>
        <w:t> أَن</w:t>
      </w:r>
      <w:r w:rsidRPr="000D4298">
        <w:rPr>
          <w:rFonts w:ascii="Traditional Arabic" w:eastAsia="Times New Roman" w:hAnsi="Traditional Arabic" w:cs="Traditional Arabic" w:hint="cs"/>
          <w:b/>
          <w:bCs/>
          <w:color w:val="538135" w:themeColor="accent6" w:themeShade="BF"/>
          <w:sz w:val="32"/>
          <w:szCs w:val="32"/>
          <w:rtl/>
        </w:rPr>
        <w:t>ۡعَمَ</w:t>
      </w:r>
      <w:r w:rsidR="00516479">
        <w:rPr>
          <w:rFonts w:ascii="Traditional Arabic" w:eastAsia="Times New Roman" w:hAnsi="Traditional Arabic" w:cs="Traditional Arabic" w:hint="cs"/>
          <w:b/>
          <w:bCs/>
          <w:color w:val="538135" w:themeColor="accent6" w:themeShade="BF"/>
          <w:sz w:val="32"/>
          <w:szCs w:val="32"/>
          <w:rtl/>
        </w:rPr>
        <w:t xml:space="preserve"> الله</w:t>
      </w:r>
      <w:r w:rsidRPr="000D4298">
        <w:rPr>
          <w:rFonts w:ascii="Traditional Arabic" w:eastAsia="Times New Roman" w:hAnsi="Traditional Arabic" w:cs="Traditional Arabic"/>
          <w:b/>
          <w:bCs/>
          <w:color w:val="538135" w:themeColor="accent6" w:themeShade="BF"/>
          <w:sz w:val="32"/>
          <w:szCs w:val="32"/>
          <w:rtl/>
        </w:rPr>
        <w:t> عَلَي</w:t>
      </w:r>
      <w:r w:rsidRPr="000D4298">
        <w:rPr>
          <w:rFonts w:ascii="Traditional Arabic" w:eastAsia="Times New Roman" w:hAnsi="Traditional Arabic" w:cs="Traditional Arabic" w:hint="cs"/>
          <w:b/>
          <w:bCs/>
          <w:color w:val="538135" w:themeColor="accent6" w:themeShade="BF"/>
          <w:sz w:val="32"/>
          <w:szCs w:val="32"/>
          <w:rtl/>
        </w:rPr>
        <w:t>ۡهِ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وَأَنۡعَمۡتَ</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عَلَيۡهِ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أَمۡسِكۡ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عَلَيۡكَ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زَوۡجَكَ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وَٱتَّقِ</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وَتُخۡفِي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نَفۡسِكَ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مُبۡدِيهِ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وَتَخۡشَى</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ٱلنَّاسَ</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أَحَقُّ</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تَخۡشَىٰهُۖ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فَلَمَّا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قَضَىٰ</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زَيۡد</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مِّنۡهَا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وَطَرا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زَوَّجۡنَ</w:t>
      </w:r>
      <w:r w:rsidRPr="000D4298">
        <w:rPr>
          <w:rFonts w:ascii="Traditional Arabic" w:eastAsia="Times New Roman" w:hAnsi="Traditional Arabic" w:cs="Traditional Arabic"/>
          <w:b/>
          <w:bCs/>
          <w:color w:val="538135" w:themeColor="accent6" w:themeShade="BF"/>
          <w:sz w:val="32"/>
          <w:szCs w:val="32"/>
          <w:rtl/>
        </w:rPr>
        <w:t>ٰكَهَا لِكَي</w:t>
      </w:r>
      <w:r w:rsidRPr="000D4298">
        <w:rPr>
          <w:rFonts w:ascii="Traditional Arabic" w:eastAsia="Times New Roman" w:hAnsi="Traditional Arabic" w:cs="Traditional Arabic" w:hint="cs"/>
          <w:b/>
          <w:bCs/>
          <w:color w:val="538135" w:themeColor="accent6" w:themeShade="BF"/>
          <w:sz w:val="32"/>
          <w:szCs w:val="32"/>
          <w:rtl/>
        </w:rPr>
        <w:t>ۡ</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يَكُونَ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عَلَى</w:t>
      </w:r>
      <w:r w:rsidRPr="000D4298">
        <w:rPr>
          <w:rFonts w:ascii="Traditional Arabic" w:eastAsia="Times New Roman" w:hAnsi="Traditional Arabic" w:cs="Traditional Arabic"/>
          <w:b/>
          <w:bCs/>
          <w:color w:val="538135" w:themeColor="accent6" w:themeShade="BF"/>
          <w:sz w:val="32"/>
          <w:szCs w:val="32"/>
          <w:rtl/>
        </w:rPr>
        <w:t xml:space="preserve"> </w:t>
      </w:r>
    </w:p>
    <w:p w:rsidR="00064ACB" w:rsidRDefault="00064ACB">
      <w:pPr>
        <w:rPr>
          <w:rFonts w:ascii="Traditional Arabic" w:eastAsia="Times New Roman" w:hAnsi="Traditional Arabic" w:cs="Traditional Arabic"/>
          <w:b/>
          <w:bCs/>
          <w:color w:val="538135" w:themeColor="accent6" w:themeShade="BF"/>
          <w:sz w:val="32"/>
          <w:szCs w:val="32"/>
          <w:rtl/>
        </w:rPr>
      </w:pPr>
      <w:r>
        <w:rPr>
          <w:rFonts w:ascii="Traditional Arabic" w:eastAsia="Times New Roman" w:hAnsi="Traditional Arabic" w:cs="Traditional Arabic"/>
          <w:b/>
          <w:bCs/>
          <w:color w:val="538135" w:themeColor="accent6" w:themeShade="BF"/>
          <w:sz w:val="32"/>
          <w:szCs w:val="32"/>
          <w:rtl/>
        </w:rPr>
        <w:br w:type="page"/>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D4298">
        <w:rPr>
          <w:rFonts w:ascii="Traditional Arabic" w:eastAsia="Times New Roman" w:hAnsi="Traditional Arabic" w:cs="Traditional Arabic" w:hint="cs"/>
          <w:b/>
          <w:bCs/>
          <w:color w:val="538135" w:themeColor="accent6" w:themeShade="BF"/>
          <w:sz w:val="32"/>
          <w:szCs w:val="32"/>
          <w:rtl/>
        </w:rPr>
        <w:lastRenderedPageBreak/>
        <w:t>ٱلۡمُؤۡمِنِينَ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حَرَج</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أَزۡوَٰجِ</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أَدۡعِيَآئِهِمۡ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إِذَا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قَضَوۡاْ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مِنۡهُنَّ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وَطَراۚ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وَكَانَ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أَمۡرُ</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مَفۡعُولا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٣٧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كَانَ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عَلَى</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ٱلنَّبِيِّ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حَرَج</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فِيمَا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فَرَضَ</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لَهُۥۖ</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سُنَّةَ</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ٱلَّذِينَ</w:t>
      </w:r>
      <w:r w:rsidRPr="000D4298">
        <w:rPr>
          <w:rFonts w:ascii="Traditional Arabic" w:eastAsia="Times New Roman" w:hAnsi="Traditional Arabic" w:cs="Traditional Arabic"/>
          <w:b/>
          <w:bCs/>
          <w:color w:val="538135" w:themeColor="accent6" w:themeShade="BF"/>
          <w:sz w:val="32"/>
          <w:szCs w:val="32"/>
          <w:rtl/>
        </w:rPr>
        <w:t xml:space="preserve"> خَلَو</w:t>
      </w:r>
      <w:r w:rsidRPr="000D4298">
        <w:rPr>
          <w:rFonts w:ascii="Traditional Arabic" w:eastAsia="Times New Roman" w:hAnsi="Traditional Arabic" w:cs="Traditional Arabic" w:hint="cs"/>
          <w:b/>
          <w:bCs/>
          <w:color w:val="538135" w:themeColor="accent6" w:themeShade="BF"/>
          <w:sz w:val="32"/>
          <w:szCs w:val="32"/>
          <w:rtl/>
        </w:rPr>
        <w:t>ۡاْ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قَبۡلُۚ</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وَكَانَ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أَمۡرُ</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قَدَرا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مَّقۡدُورًا﴾</w:t>
      </w:r>
      <w:r w:rsidR="00B91DFA">
        <w:rPr>
          <w:rStyle w:val="FootnoteReference"/>
          <w:rFonts w:ascii="Traditional Arabic" w:eastAsia="Times New Roman" w:hAnsi="Traditional Arabic" w:cs="Traditional Arabic"/>
          <w:b/>
          <w:bCs/>
          <w:color w:val="538135" w:themeColor="accent6" w:themeShade="BF"/>
          <w:sz w:val="32"/>
          <w:szCs w:val="32"/>
          <w:rtl/>
        </w:rPr>
        <w:footnoteReference w:id="21"/>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وقال الطبريُّ عن معنى "السُّنَّةِ" في آية سورة النساء </w:t>
      </w:r>
      <w:r w:rsidRPr="000D4298">
        <w:rPr>
          <w:rFonts w:ascii="Traditional Arabic" w:eastAsia="Times New Roman" w:hAnsi="Traditional Arabic" w:cs="Traditional Arabic"/>
          <w:b/>
          <w:bCs/>
          <w:color w:val="538135" w:themeColor="accent6" w:themeShade="BF"/>
          <w:sz w:val="32"/>
          <w:szCs w:val="32"/>
          <w:rtl/>
        </w:rPr>
        <w:t>﴿يُرِيدُ ٱللَّهُ لِيُبَيِّنَ لَكُم</w:t>
      </w:r>
      <w:r w:rsidRPr="000D4298">
        <w:rPr>
          <w:rFonts w:ascii="Traditional Arabic" w:eastAsia="Times New Roman" w:hAnsi="Traditional Arabic" w:cs="Traditional Arabic" w:hint="cs"/>
          <w:b/>
          <w:bCs/>
          <w:color w:val="538135" w:themeColor="accent6" w:themeShade="BF"/>
          <w:sz w:val="32"/>
          <w:szCs w:val="32"/>
          <w:rtl/>
        </w:rPr>
        <w:t>ۡ</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وَيَهۡدِيَكُمۡ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سُنَنَ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ٱلَّذِينَ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قَبۡلِكُمۡ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وَيَتُوبَ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عَلَيۡكُمۡۗ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وَٱللَّهُ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عَلِيمٌ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حَكِيم﴾</w:t>
      </w:r>
      <w:r w:rsidRPr="001609BB">
        <w:rPr>
          <w:rFonts w:ascii="Adobe Arabic" w:eastAsia="Times New Roman" w:hAnsi="Adobe Arabic" w:cs="Adobe Arabic"/>
          <w:color w:val="000000"/>
          <w:sz w:val="32"/>
          <w:szCs w:val="32"/>
          <w:rtl/>
        </w:rPr>
        <w:t>: "</w:t>
      </w:r>
      <w:r w:rsidRPr="001609BB">
        <w:rPr>
          <w:rFonts w:ascii="Adobe Arabic" w:eastAsia="Times New Roman" w:hAnsi="Adobe Arabic" w:cs="Adobe Arabic" w:hint="cs"/>
          <w:color w:val="000000"/>
          <w:sz w:val="32"/>
          <w:szCs w:val="32"/>
          <w:rtl/>
        </w:rPr>
        <w:t>يريد</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الله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لِيُبَيِّنَ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لكم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حلاله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وحرامه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ويهديكم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سُنَنَ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الذين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من</w:t>
      </w:r>
      <w:r w:rsidRPr="001609BB">
        <w:rPr>
          <w:rFonts w:ascii="Adobe Arabic" w:eastAsia="Times New Roman" w:hAnsi="Adobe Arabic" w:cs="Adobe Arabic"/>
          <w:color w:val="000000"/>
          <w:sz w:val="32"/>
          <w:szCs w:val="32"/>
          <w:rtl/>
        </w:rPr>
        <w:t xml:space="preserve"> قبلكم، أي: سُبُلَ مَنْ قبلكم من أهل الإيمان بالله وأنبيائه، ومناهجهم في ما حرّم عليكم من الأمّهات والبنات والأخوات، وسائر ما حرّم عليكم في الآيتَين اللتَين بيَّن فيهما ما حرَّم من النساء..."</w:t>
      </w:r>
      <w:r w:rsidR="00B91DFA">
        <w:rPr>
          <w:rStyle w:val="FootnoteReference"/>
          <w:rFonts w:ascii="Adobe Arabic" w:eastAsia="Times New Roman" w:hAnsi="Adobe Arabic" w:cs="Adobe Arabic"/>
          <w:color w:val="000000"/>
          <w:sz w:val="32"/>
          <w:szCs w:val="32"/>
          <w:rtl/>
        </w:rPr>
        <w:footnoteReference w:id="22"/>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وقال القرطبيّ في تفسير الآية نفسها: "معنى يهديكم: يبيّن لكم طرق الذين من قبلكم من أهل الحقّ وأهل الباطل"</w:t>
      </w:r>
      <w:r w:rsidR="00B91DFA">
        <w:rPr>
          <w:rStyle w:val="FootnoteReference"/>
          <w:rFonts w:ascii="Adobe Arabic" w:eastAsia="Times New Roman" w:hAnsi="Adobe Arabic" w:cs="Adobe Arabic"/>
          <w:color w:val="000000"/>
          <w:sz w:val="32"/>
          <w:szCs w:val="32"/>
          <w:rtl/>
        </w:rPr>
        <w:footnoteReference w:id="23"/>
      </w:r>
      <w:r w:rsidRPr="001609BB">
        <w:rPr>
          <w:rFonts w:ascii="Adobe Arabic" w:eastAsia="Times New Roman" w:hAnsi="Adobe Arabic" w:cs="Adobe Arabic"/>
          <w:color w:val="000000"/>
          <w:sz w:val="32"/>
          <w:szCs w:val="32"/>
          <w:rtl/>
        </w:rPr>
        <w:t>.</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6" w:name="_Toc155869502"/>
      <w:r w:rsidRPr="00301758">
        <w:rPr>
          <w:rFonts w:ascii="Adobe Arabic" w:eastAsia="Times New Roman" w:hAnsi="Adobe Arabic" w:cs="Adobe Arabic"/>
          <w:b/>
          <w:bCs/>
          <w:color w:val="996633"/>
          <w:sz w:val="36"/>
          <w:szCs w:val="36"/>
          <w:rtl/>
        </w:rPr>
        <w:t>السنّة في الاصطلاح الأصوليّ</w:t>
      </w:r>
      <w:bookmarkEnd w:id="6"/>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عرّف بعض الأصوليين "السنّة" بأنّها "قول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أو فعله، أو تقريره"، وعرّفها بعضهم بأنّها "ما صدر عن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غير القرآن من قول، أو فعل، أو تقرير". وأُشكِل على هذا التعريف بأنّه شامل للأقوال والأفعال والتقريرات العاديّة، كطلب الماء والغذاء، والقعود والقيام، والتقرير عليها. لذا، فإنّه زِيدَ في التعريف قيد "غير قرآن ولا عاديّ"، لإخراج مثل تلك الأقوال والأفعال والتقريرات</w:t>
      </w:r>
      <w:r w:rsidR="00B91DFA">
        <w:rPr>
          <w:rStyle w:val="FootnoteReference"/>
          <w:rFonts w:ascii="Adobe Arabic" w:eastAsia="Times New Roman" w:hAnsi="Adobe Arabic" w:cs="Adobe Arabic"/>
          <w:color w:val="000000"/>
          <w:sz w:val="32"/>
          <w:szCs w:val="32"/>
          <w:rtl/>
        </w:rPr>
        <w:footnoteReference w:id="24"/>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وأصوليّو الإماميّة يعرّفونها بأنّها "قول المعصوم، أو فعله، أو تقريره"، أو "قول مَن لا يجوز عليه الكذب والخطأ، وفعله، وتقريره، غير عاديّ"</w:t>
      </w:r>
      <w:r w:rsidR="00B91DFA">
        <w:rPr>
          <w:rStyle w:val="FootnoteReference"/>
          <w:rFonts w:ascii="Adobe Arabic" w:eastAsia="Times New Roman" w:hAnsi="Adobe Arabic" w:cs="Adobe Arabic"/>
          <w:color w:val="000000"/>
          <w:sz w:val="32"/>
          <w:szCs w:val="32"/>
          <w:rtl/>
        </w:rPr>
        <w:footnoteReference w:id="25"/>
      </w:r>
      <w:r w:rsidRPr="001609BB">
        <w:rPr>
          <w:rFonts w:ascii="Adobe Arabic" w:eastAsia="Times New Roman" w:hAnsi="Adobe Arabic" w:cs="Adobe Arabic"/>
          <w:color w:val="000000"/>
          <w:sz w:val="32"/>
          <w:szCs w:val="32"/>
          <w:rtl/>
        </w:rPr>
        <w:t>؛ وذلك لأنّ "السنّة" عندهم تشمل ما صدر عن المعصومين من أهل بيت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وعترته </w:t>
      </w:r>
      <w:r w:rsidR="001609BB" w:rsidRPr="001609BB">
        <w:rPr>
          <w:rFonts w:ascii="Adobe Arabic" w:eastAsia="Times New Roman" w:hAnsi="Adobe Arabic" w:cs="Adobe Arabic"/>
          <w:color w:val="000000"/>
          <w:sz w:val="32"/>
          <w:szCs w:val="32"/>
          <w:rtl/>
        </w:rPr>
        <w:t>(عليهم السلام)</w:t>
      </w:r>
      <w:r w:rsidR="00B91DFA">
        <w:rPr>
          <w:rStyle w:val="FootnoteReference"/>
          <w:rFonts w:ascii="Adobe Arabic" w:eastAsia="Times New Roman" w:hAnsi="Adobe Arabic" w:cs="Adobe Arabic"/>
          <w:color w:val="000000"/>
          <w:sz w:val="32"/>
          <w:szCs w:val="32"/>
          <w:rtl/>
        </w:rPr>
        <w:footnoteReference w:id="26"/>
      </w:r>
      <w:hyperlink r:id="rId8" w:anchor="footnote-348" w:history="1"/>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والسنّة في بعض الاصطلاحات</w:t>
      </w:r>
      <w:r w:rsidR="00B91DFA">
        <w:rPr>
          <w:rStyle w:val="FootnoteReference"/>
          <w:rFonts w:ascii="Adobe Arabic" w:eastAsia="Times New Roman" w:hAnsi="Adobe Arabic" w:cs="Adobe Arabic"/>
          <w:color w:val="000000"/>
          <w:sz w:val="32"/>
          <w:szCs w:val="32"/>
          <w:rtl/>
        </w:rPr>
        <w:footnoteReference w:id="27"/>
      </w:r>
      <w:r w:rsidRPr="001609BB">
        <w:rPr>
          <w:rFonts w:ascii="Adobe Arabic" w:eastAsia="Times New Roman" w:hAnsi="Adobe Arabic" w:cs="Adobe Arabic"/>
          <w:color w:val="000000"/>
          <w:sz w:val="32"/>
          <w:szCs w:val="32"/>
          <w:rtl/>
        </w:rPr>
        <w:t>، قد تُطلَق ويراد بها الحديث الحاكي للأقسام الثلاثة للسنّة الواقعيّة، وقد يُصطَلح عليها حين حكايتها بالسنّة المحكيّة، كما وقع في تعريف الشيخ حسين بن عبد الصمد للسنّة: "وهي طريقة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أو الإمام المحكيّة عنه"</w:t>
      </w:r>
      <w:r w:rsidR="00B91DFA">
        <w:rPr>
          <w:rStyle w:val="FootnoteReference"/>
          <w:rFonts w:ascii="Adobe Arabic" w:eastAsia="Times New Roman" w:hAnsi="Adobe Arabic" w:cs="Adobe Arabic"/>
          <w:color w:val="000000"/>
          <w:sz w:val="32"/>
          <w:szCs w:val="32"/>
          <w:rtl/>
        </w:rPr>
        <w:footnoteReference w:id="28"/>
      </w:r>
      <w:r w:rsidRPr="001609BB">
        <w:rPr>
          <w:rFonts w:ascii="Adobe Arabic" w:eastAsia="Times New Roman" w:hAnsi="Adobe Arabic" w:cs="Adobe Arabic"/>
          <w:color w:val="000000"/>
          <w:sz w:val="32"/>
          <w:szCs w:val="32"/>
          <w:rtl/>
        </w:rPr>
        <w:t>.</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7" w:name="_Toc155869503"/>
      <w:r w:rsidRPr="00301758">
        <w:rPr>
          <w:rFonts w:ascii="Adobe Arabic" w:eastAsia="Times New Roman" w:hAnsi="Adobe Arabic" w:cs="Adobe Arabic"/>
          <w:b/>
          <w:bCs/>
          <w:color w:val="996633"/>
          <w:sz w:val="36"/>
          <w:szCs w:val="36"/>
          <w:rtl/>
        </w:rPr>
        <w:t>السنّة في الاستعمال الفقهيّ</w:t>
      </w:r>
      <w:bookmarkEnd w:id="7"/>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أمّا لفظ "السنّة" في استعمالات الفقهاء، فيُطلَق على مجموعة من المعاني: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منها: أنّها تُطلَق على كلّ حكم شرعيّ تمّ تعرُّفُه بواسطة النبيّ الكريم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وذلك في مقابل الحكم الشرعيّ الذي تصدّى القرآن الكريم لبيانه، ويُعَبَّر عنه بالفرض.</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وبهذا، فهم يطلقون -تبعًا لبعض الروايات- على الوقوف بالمشعر الحرام عنوان "الفرض"؛ وذلك لأنّ القرآن الكريم قد تصدّى لبيانه، في حين يطلقون على الوقوف بعرفات عنوان"السنّة".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ومنها: أنّها تُطلَق على كلّ حكم شرعيّ مجعول من قِبل النبيّ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بتخويل من الله تعالى، وذلك في مقابل ما هو مجعول ابتداءً من الله جلّ وعلا، فإنّهم يُطلِقون عليه عنوان "الفرض".</w:t>
      </w:r>
    </w:p>
    <w:p w:rsidR="00064AC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ومثال ذلك الركعتان الأخيرتان في الصلوات الرباعيّة، والركعة الثالثة في صلاة المغرب، فإنّها من السنّة؛ لأنّها مجعولة من قِبل النبيّ الكريم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xml:space="preserve"> بتفويضٍ من الله جلّ وعلا، وفي مقابل ذلك، الركعتان الأوليان في تمام الصلوات اليوميّة، فإنّها فريضة باعتبارها </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مجعولة من الله تعالى ابتداءً، كما دلّت على ذلك مجموعة من الروايات، ويترتَّب على ذلك وعلى المعنى الأوّل مجموعةٌ من الثمرات الفقهيّة.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ومنها: أنّها تُطلَق على كلّ فعلٍ ثبت استحبابُه في الشريعة، وذلك في مقابل ما ثبت وجوبُه في الشريعة، فيُقال: النافلة سنّة، وصلاة الظهر فريضة.</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ومنها: أنّها تُطلَق على كلّ حُكم ثبت عن الشريعة، وذلك في مقابل البدعة، وهو إسنادُ ما ليس من الشريعة إليها</w:t>
      </w:r>
      <w:r w:rsidR="00B91DFA">
        <w:rPr>
          <w:rStyle w:val="FootnoteReference"/>
          <w:rFonts w:ascii="Adobe Arabic" w:eastAsia="Times New Roman" w:hAnsi="Adobe Arabic" w:cs="Adobe Arabic"/>
          <w:color w:val="000000"/>
          <w:sz w:val="32"/>
          <w:szCs w:val="32"/>
          <w:rtl/>
        </w:rPr>
        <w:footnoteReference w:id="29"/>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وأبحاث "السنّة" في هذا الكتاب تشمل السنّة الواقعيّة؛ أي كلّ ما صدر عن المعصوم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بوجه، وله دلالة على علم دنيويّ أو أخرويّ، سواء كان حكماً شرعيًّا أو مطلبًا عقديًّا أو أخلاقيًّا أو غير ذلك، والسنّة المحكيّة؛ أي الأخبار والروايات التي رُوِيَت عن المعصوم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سواء ثبت صدورها عنه أو لم يثبت.</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8" w:name="_Toc155869504"/>
      <w:r w:rsidRPr="00301758">
        <w:rPr>
          <w:rFonts w:ascii="Adobe Arabic" w:eastAsia="Times New Roman" w:hAnsi="Adobe Arabic" w:cs="Adobe Arabic"/>
          <w:b/>
          <w:bCs/>
          <w:color w:val="996633"/>
          <w:sz w:val="36"/>
          <w:szCs w:val="36"/>
          <w:rtl/>
        </w:rPr>
        <w:t>القرآن الكريم</w:t>
      </w:r>
      <w:bookmarkEnd w:id="8"/>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حين إطلاق لفظ "القرآن"، ينصرف الذهن بحقّ إلى الوجود اللفظيّ للكتاب الكريم النازل بصورة آيات وسور على قلب الخاتم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ولكنّ المتدبّر في هذه الآيات والسور عينها، يدرك -بلا شكّ- أنّ هناك حقيقة غيبيّة وراء هذه الألفاظ، لا تكون هذه الألفاظ والمفاهيم المحكيّة بها إلّا حكاية أو مثلًا-يناسب التفاهم بالمفاهيم المحدودة بالحدود الذهنيّة للمخلوقات العاقلة في عالم الشهادة- عن تلك الحقيقة الغائبة عن الأفهام.</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تعالى: </w:t>
      </w:r>
      <w:r w:rsidRPr="000D4298">
        <w:rPr>
          <w:rFonts w:ascii="Traditional Arabic" w:eastAsia="Times New Roman" w:hAnsi="Traditional Arabic" w:cs="Traditional Arabic"/>
          <w:b/>
          <w:bCs/>
          <w:color w:val="538135" w:themeColor="accent6" w:themeShade="BF"/>
          <w:sz w:val="32"/>
          <w:szCs w:val="32"/>
          <w:rtl/>
        </w:rPr>
        <w:t>﴿وَٱل</w:t>
      </w:r>
      <w:r w:rsidRPr="000D4298">
        <w:rPr>
          <w:rFonts w:ascii="Traditional Arabic" w:eastAsia="Times New Roman" w:hAnsi="Traditional Arabic" w:cs="Traditional Arabic" w:hint="cs"/>
          <w:b/>
          <w:bCs/>
          <w:color w:val="538135" w:themeColor="accent6" w:themeShade="BF"/>
          <w:sz w:val="32"/>
          <w:szCs w:val="32"/>
          <w:rtl/>
        </w:rPr>
        <w:t>ۡكِتَٰبِ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ٱلۡمُبِينِ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٢</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جَعَلۡنَٰهُ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قُرۡءَٰنًا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عَرَبِيّا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لَّعَلَّكُمۡ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تَعۡقِلُونَ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٣</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وَإِنَّهُۥ</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أُمِّ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ٱلۡكِتَٰبِ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لَدَيۡنَا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لَعَلِيٌّ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حَكِيمٌ﴾</w:t>
      </w:r>
      <w:r w:rsidR="00B91DFA">
        <w:rPr>
          <w:rStyle w:val="FootnoteReference"/>
          <w:rFonts w:ascii="Traditional Arabic" w:eastAsia="Times New Roman" w:hAnsi="Traditional Arabic" w:cs="Traditional Arabic"/>
          <w:b/>
          <w:bCs/>
          <w:color w:val="538135" w:themeColor="accent6" w:themeShade="BF"/>
          <w:sz w:val="32"/>
          <w:szCs w:val="32"/>
          <w:rtl/>
        </w:rPr>
        <w:footnoteReference w:id="30"/>
      </w:r>
      <w:r w:rsidRPr="001609BB">
        <w:rPr>
          <w:rFonts w:ascii="Adobe Arabic" w:eastAsia="Times New Roman" w:hAnsi="Adobe Arabic" w:cs="Adobe Arabic"/>
          <w:color w:val="000000"/>
          <w:sz w:val="32"/>
          <w:szCs w:val="32"/>
          <w:rtl/>
        </w:rPr>
        <w:t>، </w:t>
      </w:r>
      <w:r w:rsidRPr="000D4298">
        <w:rPr>
          <w:rFonts w:ascii="Traditional Arabic" w:eastAsia="Times New Roman" w:hAnsi="Traditional Arabic" w:cs="Traditional Arabic"/>
          <w:b/>
          <w:bCs/>
          <w:color w:val="538135" w:themeColor="accent6" w:themeShade="BF"/>
          <w:sz w:val="32"/>
          <w:szCs w:val="32"/>
          <w:rtl/>
        </w:rPr>
        <w:t>﴿</w:t>
      </w:r>
      <w:r w:rsidR="00516479">
        <w:rPr>
          <w:rFonts w:ascii="Traditional Arabic" w:eastAsia="Times New Roman" w:hAnsi="Traditional Arabic" w:cs="Traditional Arabic" w:hint="cs"/>
          <w:b/>
          <w:bCs/>
          <w:color w:val="538135" w:themeColor="accent6" w:themeShade="BF"/>
          <w:sz w:val="32"/>
          <w:szCs w:val="32"/>
          <w:rtl/>
        </w:rPr>
        <w:t>فلا</w:t>
      </w:r>
      <w:r w:rsidRPr="000D4298">
        <w:rPr>
          <w:rFonts w:ascii="Traditional Arabic" w:eastAsia="Times New Roman" w:hAnsi="Traditional Arabic" w:cs="Traditional Arabic"/>
          <w:b/>
          <w:bCs/>
          <w:color w:val="538135" w:themeColor="accent6" w:themeShade="BF"/>
          <w:sz w:val="32"/>
          <w:szCs w:val="32"/>
          <w:rtl/>
        </w:rPr>
        <w:t> أُق</w:t>
      </w:r>
      <w:r w:rsidRPr="000D4298">
        <w:rPr>
          <w:rFonts w:ascii="Traditional Arabic" w:eastAsia="Times New Roman" w:hAnsi="Traditional Arabic" w:cs="Traditional Arabic" w:hint="cs"/>
          <w:b/>
          <w:bCs/>
          <w:color w:val="538135" w:themeColor="accent6" w:themeShade="BF"/>
          <w:sz w:val="32"/>
          <w:szCs w:val="32"/>
          <w:rtl/>
        </w:rPr>
        <w:t>ۡسِمُ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بِمَوَٰقِ</w:t>
      </w:r>
      <w:r w:rsidRPr="000D4298">
        <w:rPr>
          <w:rFonts w:ascii="Traditional Arabic" w:eastAsia="Times New Roman" w:hAnsi="Traditional Arabic" w:cs="Traditional Arabic"/>
          <w:b/>
          <w:bCs/>
          <w:color w:val="538135" w:themeColor="accent6" w:themeShade="BF"/>
          <w:sz w:val="32"/>
          <w:szCs w:val="32"/>
          <w:rtl/>
        </w:rPr>
        <w:t>عِ ٱلنُّجُومِ ٧٥ وَإِنَّهُ</w:t>
      </w:r>
      <w:r w:rsidRPr="000D4298">
        <w:rPr>
          <w:rFonts w:ascii="Traditional Arabic" w:eastAsia="Times New Roman" w:hAnsi="Traditional Arabic" w:cs="Traditional Arabic" w:hint="cs"/>
          <w:b/>
          <w:bCs/>
          <w:color w:val="538135" w:themeColor="accent6" w:themeShade="BF"/>
          <w:sz w:val="32"/>
          <w:szCs w:val="32"/>
          <w:rtl/>
        </w:rPr>
        <w:t>ۥ</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لَقَسَم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لَّوۡ</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تَعۡلَمُونَ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عَظِيمٌ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٧٦</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إِنَّهُۥ</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لَقُرۡءَان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كَرِيم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٧٧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فِي</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كِتَٰب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مَّكۡنُون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٧٨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يَمَسُّهُۥٓ</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ٱلۡمُطَهَّرُونَ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٧٩</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تَنزِيل</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مِّن</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رَّبِّ</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ٱلۡعَٰلَمِينَ﴾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31"/>
      </w:r>
      <w:r w:rsidRPr="001609BB">
        <w:rPr>
          <w:rFonts w:ascii="Adobe Arabic" w:eastAsia="Times New Roman" w:hAnsi="Adobe Arabic" w:cs="Adobe Arabic"/>
          <w:color w:val="000000"/>
          <w:sz w:val="32"/>
          <w:szCs w:val="32"/>
          <w:rtl/>
        </w:rPr>
        <w:t>، </w:t>
      </w:r>
      <w:r w:rsidRPr="000D4298">
        <w:rPr>
          <w:rFonts w:ascii="Traditional Arabic" w:eastAsia="Times New Roman" w:hAnsi="Traditional Arabic" w:cs="Traditional Arabic"/>
          <w:b/>
          <w:bCs/>
          <w:color w:val="538135" w:themeColor="accent6" w:themeShade="BF"/>
          <w:sz w:val="32"/>
          <w:szCs w:val="32"/>
          <w:rtl/>
        </w:rPr>
        <w:t>﴿بَل</w:t>
      </w:r>
      <w:r w:rsidRPr="000D4298">
        <w:rPr>
          <w:rFonts w:ascii="Traditional Arabic" w:eastAsia="Times New Roman" w:hAnsi="Traditional Arabic" w:cs="Traditional Arabic" w:hint="cs"/>
          <w:b/>
          <w:bCs/>
          <w:color w:val="538135" w:themeColor="accent6" w:themeShade="BF"/>
          <w:sz w:val="32"/>
          <w:szCs w:val="32"/>
          <w:rtl/>
        </w:rPr>
        <w:t>ۡ</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هُوَ</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قُرۡءَان </w:t>
      </w:r>
      <w:r w:rsidR="00516479">
        <w:rPr>
          <w:rFonts w:ascii="Traditional Arabic" w:eastAsia="Times New Roman" w:hAnsi="Traditional Arabic" w:cs="Traditional Arabic" w:hint="cs"/>
          <w:b/>
          <w:bCs/>
          <w:color w:val="538135" w:themeColor="accent6" w:themeShade="BF"/>
          <w:sz w:val="32"/>
          <w:szCs w:val="32"/>
          <w:rtl/>
        </w:rPr>
        <w:t>مجيد</w:t>
      </w:r>
      <w:r w:rsidRPr="000D4298">
        <w:rPr>
          <w:rFonts w:ascii="Traditional Arabic" w:eastAsia="Times New Roman" w:hAnsi="Traditional Arabic" w:cs="Traditional Arabic"/>
          <w:b/>
          <w:bCs/>
          <w:color w:val="538135" w:themeColor="accent6" w:themeShade="BF"/>
          <w:sz w:val="32"/>
          <w:szCs w:val="32"/>
          <w:rtl/>
        </w:rPr>
        <w:t> ٢١ </w:t>
      </w:r>
      <w:r w:rsidR="00516479">
        <w:rPr>
          <w:rFonts w:ascii="Traditional Arabic" w:eastAsia="Times New Roman" w:hAnsi="Traditional Arabic" w:cs="Traditional Arabic" w:hint="cs"/>
          <w:b/>
          <w:bCs/>
          <w:color w:val="538135" w:themeColor="accent6" w:themeShade="BF"/>
          <w:sz w:val="32"/>
          <w:szCs w:val="32"/>
          <w:rtl/>
        </w:rPr>
        <w:t>في</w:t>
      </w:r>
      <w:r w:rsidRPr="000D4298">
        <w:rPr>
          <w:rFonts w:ascii="Traditional Arabic" w:eastAsia="Times New Roman" w:hAnsi="Traditional Arabic" w:cs="Traditional Arabic"/>
          <w:b/>
          <w:bCs/>
          <w:color w:val="538135" w:themeColor="accent6" w:themeShade="BF"/>
          <w:sz w:val="32"/>
          <w:szCs w:val="32"/>
          <w:rtl/>
        </w:rPr>
        <w:t> لَو</w:t>
      </w:r>
      <w:r w:rsidRPr="000D4298">
        <w:rPr>
          <w:rFonts w:ascii="Traditional Arabic" w:eastAsia="Times New Roman" w:hAnsi="Traditional Arabic" w:cs="Traditional Arabic" w:hint="cs"/>
          <w:b/>
          <w:bCs/>
          <w:color w:val="538135" w:themeColor="accent6" w:themeShade="BF"/>
          <w:sz w:val="32"/>
          <w:szCs w:val="32"/>
          <w:rtl/>
        </w:rPr>
        <w:t>ۡح </w:t>
      </w:r>
      <w:r w:rsidR="00516479">
        <w:rPr>
          <w:rFonts w:ascii="Traditional Arabic" w:eastAsia="Times New Roman" w:hAnsi="Traditional Arabic" w:cs="Traditional Arabic" w:hint="cs"/>
          <w:b/>
          <w:bCs/>
          <w:color w:val="538135" w:themeColor="accent6" w:themeShade="BF"/>
          <w:sz w:val="32"/>
          <w:szCs w:val="32"/>
          <w:rtl/>
        </w:rPr>
        <w:t>محفوظ</w:t>
      </w:r>
      <w:r w:rsidRPr="000D4298">
        <w:rPr>
          <w:rFonts w:ascii="Traditional Arabic" w:eastAsia="Times New Roman" w:hAnsi="Traditional Arabic" w:cs="Traditional Arabic"/>
          <w:b/>
          <w:bCs/>
          <w:color w:val="538135" w:themeColor="accent6" w:themeShade="BF"/>
          <w:sz w:val="32"/>
          <w:szCs w:val="32"/>
          <w:rtl/>
        </w:rPr>
        <w:t>﴾</w:t>
      </w:r>
      <w:r w:rsidR="00B91DFA">
        <w:rPr>
          <w:rStyle w:val="FootnoteReference"/>
          <w:rFonts w:ascii="Traditional Arabic" w:eastAsia="Times New Roman" w:hAnsi="Traditional Arabic" w:cs="Traditional Arabic"/>
          <w:b/>
          <w:bCs/>
          <w:color w:val="538135" w:themeColor="accent6" w:themeShade="BF"/>
          <w:sz w:val="32"/>
          <w:szCs w:val="32"/>
          <w:rtl/>
        </w:rPr>
        <w:footnoteReference w:id="32"/>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وهذه الآيات ونظيراتها تفيد أنّ للقرآن الكريم، في غير مرتبته اللفظيّة حيث هو في اللوح المحفوظ أو أمّ الكتاب، وجودًا لا سبيل للقوّة العاقلة بإدراك كنهه؛ لانحصار مدركاتها بالمفاهيم، فلا يناله في تلك المرتبة إلّا من طَهُرَت نفسُه عن كلّ رجس، وسيجيء نزرٌ من التفصيل في هويّة هؤلاء "المطهَّرون" وأدوارهم، في الفصول اللاحقة عند الكلام في حديث الثقلَين، بحول الله وقوّته.</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لذا من رحمته تعالى بعباده، تنزيله القرآن الكريم من تلك المرتبة، إلى مرتبة المفاهيم والألفاظ؛ لينال كلٌ حسب سعته وقدره، من ذلك المَعين، ولو عبر المثل: </w:t>
      </w:r>
      <w:r w:rsidRPr="000D4298">
        <w:rPr>
          <w:rFonts w:ascii="Traditional Arabic" w:eastAsia="Times New Roman" w:hAnsi="Traditional Arabic" w:cs="Traditional Arabic"/>
          <w:b/>
          <w:bCs/>
          <w:color w:val="538135" w:themeColor="accent6" w:themeShade="BF"/>
          <w:sz w:val="32"/>
          <w:szCs w:val="32"/>
          <w:rtl/>
        </w:rPr>
        <w:t>﴿ وَتِل</w:t>
      </w:r>
      <w:r w:rsidRPr="000D4298">
        <w:rPr>
          <w:rFonts w:ascii="Traditional Arabic" w:eastAsia="Times New Roman" w:hAnsi="Traditional Arabic" w:cs="Traditional Arabic" w:hint="cs"/>
          <w:b/>
          <w:bCs/>
          <w:color w:val="538135" w:themeColor="accent6" w:themeShade="BF"/>
          <w:sz w:val="32"/>
          <w:szCs w:val="32"/>
          <w:rtl/>
        </w:rPr>
        <w:t>ۡكَ</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ٱلۡأَمۡثَٰلُ</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نَضۡرِبُهَا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لِلنَّاسِۖ</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وَمَا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يَعۡقِلُهَآ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إِلَّا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ٱلۡعَٰلِمُونَ﴾</w:t>
      </w:r>
      <w:r w:rsidR="00B91DFA">
        <w:rPr>
          <w:rStyle w:val="FootnoteReference"/>
          <w:rFonts w:ascii="Traditional Arabic" w:eastAsia="Times New Roman" w:hAnsi="Traditional Arabic" w:cs="Traditional Arabic"/>
          <w:b/>
          <w:bCs/>
          <w:color w:val="538135" w:themeColor="accent6" w:themeShade="BF"/>
          <w:sz w:val="32"/>
          <w:szCs w:val="32"/>
          <w:rtl/>
        </w:rPr>
        <w:footnoteReference w:id="33"/>
      </w:r>
      <w:r w:rsidRPr="001609BB">
        <w:rPr>
          <w:rFonts w:ascii="Adobe Arabic" w:eastAsia="Times New Roman" w:hAnsi="Adobe Arabic" w:cs="Adobe Arabic"/>
          <w:color w:val="000000"/>
          <w:sz w:val="32"/>
          <w:szCs w:val="32"/>
          <w:rtl/>
        </w:rPr>
        <w:t>، وتفصيله بعد أن كان محكمًا في تلك المرتبة.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في الميزان: "قوله تعالى: </w:t>
      </w:r>
      <w:r w:rsidRPr="000D4298">
        <w:rPr>
          <w:rFonts w:ascii="Traditional Arabic" w:eastAsia="Times New Roman" w:hAnsi="Traditional Arabic" w:cs="Traditional Arabic"/>
          <w:b/>
          <w:bCs/>
          <w:color w:val="538135" w:themeColor="accent6" w:themeShade="BF"/>
          <w:sz w:val="32"/>
          <w:szCs w:val="32"/>
          <w:rtl/>
        </w:rPr>
        <w:t>﴿إِنَّا جَعَل</w:t>
      </w:r>
      <w:r w:rsidRPr="000D4298">
        <w:rPr>
          <w:rFonts w:ascii="Traditional Arabic" w:eastAsia="Times New Roman" w:hAnsi="Traditional Arabic" w:cs="Traditional Arabic" w:hint="cs"/>
          <w:b/>
          <w:bCs/>
          <w:color w:val="538135" w:themeColor="accent6" w:themeShade="BF"/>
          <w:sz w:val="32"/>
          <w:szCs w:val="32"/>
          <w:rtl/>
        </w:rPr>
        <w:t>ۡنَٰهُ</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قُرۡءَٰنًا</w:t>
      </w:r>
      <w:r w:rsidRPr="000D4298">
        <w:rPr>
          <w:rFonts w:ascii="Traditional Arabic" w:eastAsia="Times New Roman" w:hAnsi="Traditional Arabic" w:cs="Traditional Arabic"/>
          <w:b/>
          <w:bCs/>
          <w:color w:val="538135" w:themeColor="accent6" w:themeShade="BF"/>
          <w:sz w:val="32"/>
          <w:szCs w:val="32"/>
          <w:rtl/>
        </w:rPr>
        <w:t xml:space="preserve"> عَرَبِيّ</w:t>
      </w:r>
      <w:r w:rsidRPr="000D4298">
        <w:rPr>
          <w:rFonts w:ascii="Traditional Arabic" w:eastAsia="Times New Roman" w:hAnsi="Traditional Arabic" w:cs="Traditional Arabic" w:hint="cs"/>
          <w:b/>
          <w:bCs/>
          <w:color w:val="538135" w:themeColor="accent6" w:themeShade="BF"/>
          <w:sz w:val="32"/>
          <w:szCs w:val="32"/>
          <w:rtl/>
        </w:rPr>
        <w:t>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لَّعَلَّكُمۡ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تَعۡقِلُونَ﴾</w:t>
      </w:r>
      <w:r w:rsidRPr="000D4298">
        <w:rPr>
          <w:rFonts w:ascii="Adobe Arabic" w:eastAsia="Times New Roman" w:hAnsi="Adobe Arabic" w:cs="Adobe Arabic" w:hint="cs"/>
          <w:color w:val="000000"/>
          <w:sz w:val="32"/>
          <w:szCs w:val="32"/>
          <w:rtl/>
        </w:rPr>
        <w:t>،</w:t>
      </w:r>
      <w:r w:rsidRPr="000D4298">
        <w:rPr>
          <w:rFonts w:ascii="Adobe Arabic" w:eastAsia="Times New Roman" w:hAnsi="Adobe Arabic" w:cs="Adobe Arabic"/>
          <w:color w:val="000000"/>
          <w:sz w:val="32"/>
          <w:szCs w:val="32"/>
          <w:rtl/>
        </w:rPr>
        <w:t xml:space="preserve"> </w:t>
      </w:r>
      <w:r w:rsidRPr="000D4298">
        <w:rPr>
          <w:rFonts w:ascii="Adobe Arabic" w:eastAsia="Times New Roman" w:hAnsi="Adobe Arabic" w:cs="Adobe Arabic" w:hint="cs"/>
          <w:color w:val="000000"/>
          <w:sz w:val="32"/>
          <w:szCs w:val="32"/>
          <w:rtl/>
        </w:rPr>
        <w:t>الضمير</w:t>
      </w:r>
      <w:r w:rsidRPr="000D4298">
        <w:rPr>
          <w:rFonts w:ascii="Adobe Arabic" w:eastAsia="Times New Roman" w:hAnsi="Adobe Arabic" w:cs="Adobe Arabic"/>
          <w:color w:val="000000"/>
          <w:sz w:val="32"/>
          <w:szCs w:val="32"/>
          <w:rtl/>
        </w:rPr>
        <w:t xml:space="preserve"> </w:t>
      </w:r>
      <w:r w:rsidRPr="000D4298">
        <w:rPr>
          <w:rFonts w:ascii="Adobe Arabic" w:eastAsia="Times New Roman" w:hAnsi="Adobe Arabic" w:cs="Adobe Arabic" w:hint="cs"/>
          <w:color w:val="000000"/>
          <w:sz w:val="32"/>
          <w:szCs w:val="32"/>
          <w:rtl/>
        </w:rPr>
        <w:t>للكتاب،</w:t>
      </w:r>
      <w:r w:rsidRPr="000D4298">
        <w:rPr>
          <w:rFonts w:ascii="Adobe Arabic" w:eastAsia="Times New Roman" w:hAnsi="Adobe Arabic" w:cs="Adobe Arabic"/>
          <w:color w:val="000000"/>
          <w:sz w:val="32"/>
          <w:szCs w:val="32"/>
          <w:rtl/>
        </w:rPr>
        <w:t xml:space="preserve"> </w:t>
      </w:r>
      <w:r w:rsidRPr="000D4298">
        <w:rPr>
          <w:rFonts w:ascii="Adobe Arabic" w:eastAsia="Times New Roman" w:hAnsi="Adobe Arabic" w:cs="Adobe Arabic" w:hint="cs"/>
          <w:color w:val="000000"/>
          <w:sz w:val="32"/>
          <w:szCs w:val="32"/>
          <w:rtl/>
        </w:rPr>
        <w:t>و</w:t>
      </w:r>
      <w:r w:rsidRPr="000D4298">
        <w:rPr>
          <w:rFonts w:ascii="Traditional Arabic" w:eastAsia="Times New Roman" w:hAnsi="Traditional Arabic" w:cs="Traditional Arabic" w:hint="cs"/>
          <w:b/>
          <w:bCs/>
          <w:color w:val="538135" w:themeColor="accent6" w:themeShade="BF"/>
          <w:sz w:val="32"/>
          <w:szCs w:val="32"/>
          <w:rtl/>
        </w:rPr>
        <w:t>﴿قُرۡءَٰنًا</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عَرَبِيّا﴾</w:t>
      </w:r>
      <w:r w:rsidRPr="001609BB">
        <w:rPr>
          <w:rFonts w:ascii="Adobe Arabic" w:eastAsia="Times New Roman" w:hAnsi="Adobe Arabic" w:cs="Adobe Arabic" w:hint="cs"/>
          <w:color w:val="000000"/>
          <w:sz w:val="32"/>
          <w:szCs w:val="32"/>
          <w:rtl/>
        </w:rPr>
        <w:t> أي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مقروءًا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باللغة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العربية،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w:t>
      </w:r>
      <w:r w:rsidRPr="000D4298">
        <w:rPr>
          <w:rFonts w:ascii="Traditional Arabic" w:eastAsia="Times New Roman" w:hAnsi="Traditional Arabic" w:cs="Traditional Arabic" w:hint="cs"/>
          <w:b/>
          <w:bCs/>
          <w:color w:val="538135" w:themeColor="accent6" w:themeShade="BF"/>
          <w:sz w:val="32"/>
          <w:szCs w:val="32"/>
          <w:rtl/>
        </w:rPr>
        <w:t>﴿لَّعَلَّكُمۡ</w:t>
      </w:r>
      <w:r w:rsidRPr="000D4298">
        <w:rPr>
          <w:rFonts w:ascii="Traditional Arabic" w:eastAsia="Times New Roman" w:hAnsi="Traditional Arabic" w:cs="Traditional Arabic"/>
          <w:b/>
          <w:bCs/>
          <w:color w:val="538135" w:themeColor="accent6" w:themeShade="BF"/>
          <w:sz w:val="32"/>
          <w:szCs w:val="32"/>
          <w:rtl/>
        </w:rPr>
        <w:t xml:space="preserve"> </w:t>
      </w:r>
      <w:r w:rsidRPr="000D4298">
        <w:rPr>
          <w:rFonts w:ascii="Traditional Arabic" w:eastAsia="Times New Roman" w:hAnsi="Traditional Arabic" w:cs="Traditional Arabic" w:hint="cs"/>
          <w:b/>
          <w:bCs/>
          <w:color w:val="538135" w:themeColor="accent6" w:themeShade="BF"/>
          <w:sz w:val="32"/>
          <w:szCs w:val="32"/>
          <w:rtl/>
        </w:rPr>
        <w:t>تَعۡقِلُونَ﴾</w:t>
      </w:r>
      <w:r w:rsidRPr="001609BB">
        <w:rPr>
          <w:rFonts w:ascii="Adobe Arabic" w:eastAsia="Times New Roman" w:hAnsi="Adobe Arabic" w:cs="Adobe Arabic" w:hint="cs"/>
          <w:color w:val="000000"/>
          <w:sz w:val="32"/>
          <w:szCs w:val="32"/>
          <w:rtl/>
        </w:rPr>
        <w:t> غاية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الجعل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وغرضه</w:t>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وجَعلُ رجاء تعقُّله غايةً للجعل المذكور، يشهد بأنّ له مرحلة من الكينونة والوجود لا ينالها عقول الناس، ومن شأن العقل أن ينال كلّ أمر فكريّ، وإن بلغ من اللطافة والدقّة ما بلغ، فمفاد الآية أنّ الكتاب -بحسب موطنه الذي له في نفسه- أمرٌ وراء الفكر، أجنبيٌّ عن العقول البشريّة، وإنّما جعله الله قرآنًا عربيًا وألبسه هذا اللباس، رجاء أن يستأنس به عقول الناس، فيعقلوه. قوله تعالى: </w:t>
      </w:r>
      <w:r w:rsidRPr="008711A0">
        <w:rPr>
          <w:rFonts w:ascii="Traditional Arabic" w:eastAsia="Times New Roman" w:hAnsi="Traditional Arabic" w:cs="Traditional Arabic"/>
          <w:b/>
          <w:bCs/>
          <w:color w:val="538135" w:themeColor="accent6" w:themeShade="BF"/>
          <w:sz w:val="32"/>
          <w:szCs w:val="32"/>
          <w:rtl/>
        </w:rPr>
        <w:t>﴿وَإِنَّهُ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لَدَيۡنَا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لَعَلِيٌّ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حَكِيمٌ﴾</w:t>
      </w:r>
      <w:r w:rsidRPr="001609BB">
        <w:rPr>
          <w:rFonts w:ascii="Adobe Arabic" w:eastAsia="Times New Roman" w:hAnsi="Adobe Arabic" w:cs="Adobe Arabic" w:hint="cs"/>
          <w:color w:val="000000"/>
          <w:sz w:val="32"/>
          <w:szCs w:val="32"/>
          <w:rtl/>
        </w:rPr>
        <w:t> تأكيدٌ</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وتبيينٌ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لِما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تدلّ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عليه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الآية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السابقة،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الكتاب</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موطنه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الأصليّ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وراء</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تعقُّل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العقول</w:t>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والضمير للكتاب، والمراد بأمّ الكتاب: اللوح المحفوظ، كما قال تعالى: </w:t>
      </w:r>
      <w:r w:rsidRPr="008711A0">
        <w:rPr>
          <w:rFonts w:ascii="Traditional Arabic" w:eastAsia="Times New Roman" w:hAnsi="Traditional Arabic" w:cs="Traditional Arabic"/>
          <w:b/>
          <w:bCs/>
          <w:color w:val="538135" w:themeColor="accent6" w:themeShade="BF"/>
          <w:sz w:val="32"/>
          <w:szCs w:val="32"/>
          <w:rtl/>
        </w:rPr>
        <w:t>﴿بَل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قُرۡءَان</w:t>
      </w:r>
      <w:r w:rsidRPr="008711A0">
        <w:rPr>
          <w:rFonts w:ascii="Traditional Arabic" w:eastAsia="Times New Roman" w:hAnsi="Traditional Arabic" w:cs="Traditional Arabic"/>
          <w:b/>
          <w:bCs/>
          <w:color w:val="538135" w:themeColor="accent6" w:themeShade="BF"/>
          <w:sz w:val="32"/>
          <w:szCs w:val="32"/>
          <w:rtl/>
        </w:rPr>
        <w:t xml:space="preserve"> مَّجِيد ٢١ فِي لَو</w:t>
      </w:r>
      <w:r w:rsidRPr="008711A0">
        <w:rPr>
          <w:rFonts w:ascii="Traditional Arabic" w:eastAsia="Times New Roman" w:hAnsi="Traditional Arabic" w:cs="Traditional Arabic" w:hint="cs"/>
          <w:b/>
          <w:bCs/>
          <w:color w:val="538135" w:themeColor="accent6" w:themeShade="BF"/>
          <w:sz w:val="32"/>
          <w:szCs w:val="32"/>
          <w:rtl/>
        </w:rPr>
        <w:t>ۡح</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مَّحۡفُوظِۢ﴾</w:t>
      </w:r>
      <w:r w:rsidR="00B91DFA">
        <w:rPr>
          <w:rStyle w:val="FootnoteReference"/>
          <w:rFonts w:ascii="Traditional Arabic" w:eastAsia="Times New Roman" w:hAnsi="Traditional Arabic" w:cs="Traditional Arabic"/>
          <w:b/>
          <w:bCs/>
          <w:color w:val="538135" w:themeColor="accent6" w:themeShade="BF"/>
          <w:sz w:val="32"/>
          <w:szCs w:val="32"/>
          <w:rtl/>
        </w:rPr>
        <w:footnoteReference w:id="34"/>
      </w:r>
      <w:r w:rsidRPr="001609BB">
        <w:rPr>
          <w:rFonts w:ascii="Adobe Arabic" w:eastAsia="Times New Roman" w:hAnsi="Adobe Arabic" w:cs="Adobe Arabic"/>
          <w:color w:val="000000"/>
          <w:sz w:val="32"/>
          <w:szCs w:val="32"/>
          <w:rtl/>
        </w:rPr>
        <w:t>. وتسميته بأمّ الكتاب لكونه أصل الكتب السماويّة، يستنسخ منه غيره...</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والمراد بكونه عليًّا، على ما يعطيه مفاد الآية السابقة، أنّه رفيع القدر والمنزلة من أن تناله العقول، وبكونه حكيمًا، أنّه هناك محكم غير مفصَّل ولا مجزّى إلى سور وآيات وجمل. وهذان النعتان -أعني كونَه عليًّا حكيمًا- هما الموجِبان لكونه وراء العقول البشرية؛ فإنّ العقل في فكرته لا ينال إلّا ما كان من قَبيل المفاهيم والألفاظ أوّلًا، وكان مؤلّفًا من مقدّمات تصديقيّة يترتّب بعضُها على بعض، كما في الآيات والجمل القرآنيّة. وأمّا إذا كان الأمر وراء المفاهيم والألفاظ، وكان غير متجزٍّ إلى أجزاء وفصول، فلا طريق للعقل إلى نيله.</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فمحصّل معنى الآيتَين: أنّ الكتاب عندنا في اللوح المحفوظ ذو مقام رفيع وإحكام لا تناله العقول لذينك الوصفَين، وإنّما أنزلناه بجعله مقروءًا عربيًّا رجاءَ أن يعقله الناس"</w:t>
      </w:r>
      <w:r w:rsidR="00B91DFA">
        <w:rPr>
          <w:rStyle w:val="FootnoteReference"/>
          <w:rFonts w:ascii="Adobe Arabic" w:eastAsia="Times New Roman" w:hAnsi="Adobe Arabic" w:cs="Adobe Arabic"/>
          <w:color w:val="000000"/>
          <w:sz w:val="32"/>
          <w:szCs w:val="32"/>
          <w:rtl/>
        </w:rPr>
        <w:footnoteReference w:id="35"/>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والمعنيّ بالقرآن الكريم في دراستنا هذه، اللفظُ المنزل على محمّد</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للإعجاز بسورة منه، المتعبّد بتلاوته</w:t>
      </w:r>
      <w:r w:rsidR="00B91DFA">
        <w:rPr>
          <w:rStyle w:val="FootnoteReference"/>
          <w:rFonts w:ascii="Adobe Arabic" w:eastAsia="Times New Roman" w:hAnsi="Adobe Arabic" w:cs="Adobe Arabic"/>
          <w:color w:val="000000"/>
          <w:sz w:val="32"/>
          <w:szCs w:val="32"/>
          <w:rtl/>
        </w:rPr>
        <w:footnoteReference w:id="36"/>
      </w:r>
      <w:r w:rsidRPr="001609BB">
        <w:rPr>
          <w:rFonts w:ascii="Adobe Arabic" w:eastAsia="Times New Roman" w:hAnsi="Adobe Arabic" w:cs="Adobe Arabic"/>
          <w:color w:val="000000"/>
          <w:sz w:val="32"/>
          <w:szCs w:val="32"/>
          <w:rtl/>
        </w:rPr>
        <w:t>، ولا نعني مرتبته الغيبيّة في اللوح المحفوظ، ولا غير ذلك من المعاني.</w:t>
      </w: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9" w:name="_Toc155869505"/>
      <w:r w:rsidRPr="0064226D">
        <w:rPr>
          <w:rFonts w:ascii="Adobe Arabic" w:eastAsia="Times New Roman" w:hAnsi="Adobe Arabic" w:cs="Adobe Arabic"/>
          <w:b/>
          <w:bCs/>
          <w:color w:val="538135" w:themeColor="accent6" w:themeShade="BF"/>
          <w:sz w:val="40"/>
          <w:szCs w:val="40"/>
          <w:rtl/>
        </w:rPr>
        <w:lastRenderedPageBreak/>
        <w:t>الدرس الثاني</w:t>
      </w:r>
      <w:r w:rsidR="0064226D">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حجّيّة القرآن الكريم 1</w:t>
      </w:r>
      <w:r w:rsidR="0064226D">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(المحكم والمتشابه)</w:t>
      </w:r>
      <w:bookmarkEnd w:id="9"/>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يعرف المراد من "الحجّيّة" في هذا البحث.</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أركان أصل حجّيّة القرآن الكريم.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يتبيّن الأقوال في المحكم والمتشابه.</w:t>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10" w:name="_Toc155869506"/>
      <w:r w:rsidRPr="00301758">
        <w:rPr>
          <w:rFonts w:ascii="Adobe Arabic" w:eastAsia="Times New Roman" w:hAnsi="Adobe Arabic" w:cs="Adobe Arabic"/>
          <w:b/>
          <w:bCs/>
          <w:color w:val="996633"/>
          <w:sz w:val="36"/>
          <w:szCs w:val="36"/>
          <w:rtl/>
        </w:rPr>
        <w:lastRenderedPageBreak/>
        <w:t>تمهيد</w:t>
      </w:r>
      <w:bookmarkEnd w:id="10"/>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لا بدّ في بداية الحديث عن حجّيّة القرآن الكريم من بيان معاني الحجّيّة لغةً واصطلاحًا وتحديد المراد منها في هذا الكتاب.</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11" w:name="_Toc155869507"/>
      <w:r w:rsidRPr="00301758">
        <w:rPr>
          <w:rFonts w:ascii="Adobe Arabic" w:eastAsia="Times New Roman" w:hAnsi="Adobe Arabic" w:cs="Adobe Arabic"/>
          <w:b/>
          <w:bCs/>
          <w:color w:val="996633"/>
          <w:sz w:val="36"/>
          <w:szCs w:val="36"/>
          <w:rtl/>
        </w:rPr>
        <w:t>معاني الحجّيّة</w:t>
      </w:r>
      <w:bookmarkEnd w:id="11"/>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 الحجّة لغة:</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الحجّة "بالضم": الدليل و"البرهان"، وقيل: ما دفع به الخصم. قال الأزهريّ: الحجّة: الوجه الذي يكون به الظفر عند الخصومة</w:t>
      </w:r>
      <w:r w:rsidR="00B91DFA">
        <w:rPr>
          <w:rStyle w:val="FootnoteReference"/>
          <w:rFonts w:ascii="Adobe Arabic" w:eastAsia="Times New Roman" w:hAnsi="Adobe Arabic" w:cs="Adobe Arabic"/>
          <w:color w:val="000000"/>
          <w:sz w:val="32"/>
          <w:szCs w:val="32"/>
          <w:rtl/>
        </w:rPr>
        <w:footnoteReference w:id="37"/>
      </w:r>
      <w:r w:rsidRPr="001609BB">
        <w:rPr>
          <w:rFonts w:ascii="Adobe Arabic" w:eastAsia="Times New Roman" w:hAnsi="Adobe Arabic" w:cs="Adobe Arabic"/>
          <w:color w:val="000000"/>
          <w:sz w:val="32"/>
          <w:szCs w:val="32"/>
          <w:rtl/>
        </w:rPr>
        <w:t>. وقيل إنّها الغلبة، ومعه يكون إطلاق الحجّة على البرهان والدليل من باب إطلاق المسبَّب وإرادة سببه، إذ إنّ البرهان يكون سببًا للغلبة على الخصم، فيكون إطلاق الحجّة في اللغة على ما يُحتَجّ به على الخصم، وعلى ما يوجب الظفر عند الخصومة، إطلاقًا مجازيًّا بنحو المجاز المرسل، وذلك بعلاقة المسبّبيّة.</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 الممكن أن تكون "الحجّة" مشتقّة من الحجّ، بمعنى القصد؛ لأنّها تقصد، أو بها يقصد الحقّ المطلوب</w:t>
      </w:r>
      <w:r w:rsidR="00B91DFA">
        <w:rPr>
          <w:rStyle w:val="FootnoteReference"/>
          <w:rFonts w:ascii="Adobe Arabic" w:eastAsia="Times New Roman" w:hAnsi="Adobe Arabic" w:cs="Adobe Arabic"/>
          <w:color w:val="000000"/>
          <w:sz w:val="32"/>
          <w:szCs w:val="32"/>
          <w:rtl/>
        </w:rPr>
        <w:footnoteReference w:id="38"/>
      </w:r>
      <w:r w:rsidRPr="001609BB">
        <w:rPr>
          <w:rFonts w:ascii="Adobe Arabic" w:eastAsia="Times New Roman" w:hAnsi="Adobe Arabic" w:cs="Adobe Arabic"/>
          <w:color w:val="000000"/>
          <w:sz w:val="32"/>
          <w:szCs w:val="32"/>
          <w:rtl/>
        </w:rPr>
        <w:t>. وحينئذٍ، تكون الحجّة أقرب للوسيلة منها إلى الغاية، فالغاية هي الغلبة، والوسيلة هي البرهان والدليل، وحينئذٍ، يكون إطلاق لفظ الحجّة على البرهان والدليل إطلاقًا حقيقيًّا</w:t>
      </w:r>
      <w:r w:rsidR="00B91DFA">
        <w:rPr>
          <w:rStyle w:val="FootnoteReference"/>
          <w:rFonts w:ascii="Adobe Arabic" w:eastAsia="Times New Roman" w:hAnsi="Adobe Arabic" w:cs="Adobe Arabic"/>
          <w:color w:val="000000"/>
          <w:sz w:val="32"/>
          <w:szCs w:val="32"/>
          <w:rtl/>
        </w:rPr>
        <w:footnoteReference w:id="39"/>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lastRenderedPageBreak/>
        <w:t>- الحجّة اصطلاحًا:</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الحجّة عند المناطقة: الحجّة، بحسب اصطلاح المناطقة، هي كلّ معلومٍ تصديقيّ يصلح لإثبات مجهول تصديقيّ. وهناك تعريف آخر للحجّة، ذكره بعض المناطقة، وهو أنّ الحجّة عبارة عن تأليف قضايا ينتج عنها المطلوب. وعليه، تكون الحجّة المنطقيّة هي مجموع القضايا المؤلَّفة بشكل خاصّ، وينتج عن مجموعها المطلوب، فيكون القياس بصغراه وكبراه، وكذلك الاستقراء بتمام مقدّماته، وهكذا التمثيل وغيرهم، مصاديقَ الحجّة المنطقيّة</w:t>
      </w:r>
      <w:r w:rsidR="00B91DFA">
        <w:rPr>
          <w:rStyle w:val="FootnoteReference"/>
          <w:rFonts w:ascii="Adobe Arabic" w:eastAsia="Times New Roman" w:hAnsi="Adobe Arabic" w:cs="Adobe Arabic"/>
          <w:color w:val="000000"/>
          <w:sz w:val="32"/>
          <w:szCs w:val="32"/>
          <w:rtl/>
        </w:rPr>
        <w:footnoteReference w:id="40"/>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وهناك تعريف ثالث للحجّة المنطقيّة، وحاصله: أنّ الحجّة هي "الحدّ الوسط، الذي يكون بينه وبين الأكبر الذي يُراد إثباته للأصغر، علقةٌ وربطٌ ثبوتيّ"، إمّا علقة التلازم، وإمّا علقة العلّيّة والمعلوليّة، سواء كان الوسط علّة لثبوت الأكبر الذي هو البرهان اللمّيّ، أو كان معلولًا له الذي هو البرهان الإنّيّ</w:t>
      </w:r>
      <w:r w:rsidR="00B91DFA">
        <w:rPr>
          <w:rStyle w:val="FootnoteReference"/>
          <w:rFonts w:ascii="Adobe Arabic" w:eastAsia="Times New Roman" w:hAnsi="Adobe Arabic" w:cs="Adobe Arabic"/>
          <w:color w:val="000000"/>
          <w:sz w:val="32"/>
          <w:szCs w:val="32"/>
          <w:rtl/>
        </w:rPr>
        <w:footnoteReference w:id="41"/>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الحجّة عند الأصوليّين: إنّ الحجّة عند الأصوليّين قد تُطلَق ويُراد منها المنجّزيّة والمعذّرية. والمنجّزية هي المسؤوليّة وثبوت العهدة، والمعذريّة هي انتفاء المسؤوليّة وصحّة الاعتذار عن منافاة الواقع</w:t>
      </w:r>
      <w:r w:rsidR="00B91DFA">
        <w:rPr>
          <w:rStyle w:val="FootnoteReference"/>
          <w:rFonts w:ascii="Adobe Arabic" w:eastAsia="Times New Roman" w:hAnsi="Adobe Arabic" w:cs="Adobe Arabic"/>
          <w:color w:val="000000"/>
          <w:sz w:val="32"/>
          <w:szCs w:val="32"/>
          <w:rtl/>
        </w:rPr>
        <w:footnoteReference w:id="42"/>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الحجّة في هذا الكتاب: نعني بالحجّة هنا، معنى أقرب إلى المعنى اللغويّ، وهو كلّ ما له صلاحيّة الاستدلال على مؤدّى معيّن وفق الدين الإسلاميّ، بغضّ النظر عن كون المستدَلّ له مطلبًا عقديًّا من أصول الدين، أو حكمًا فقهيًّا، أو غير ذلك. وهذا معنى جامع ينطبق على الحجّة في علوم إسلاميّة مختلفة، لكنّها قد تختلف في شروط الاستدلال، بناءً على منهج كلّ علم منها، كالاختلاف المفروض بين علمَي الكلام والفقه، باشتراط يقينيّة المضمون أو النتيجة</w:t>
      </w:r>
      <w:r w:rsidR="00B91DFA">
        <w:rPr>
          <w:rStyle w:val="FootnoteReference"/>
          <w:rFonts w:ascii="Adobe Arabic" w:eastAsia="Times New Roman" w:hAnsi="Adobe Arabic" w:cs="Adobe Arabic"/>
          <w:color w:val="000000"/>
          <w:sz w:val="32"/>
          <w:szCs w:val="32"/>
          <w:rtl/>
        </w:rPr>
        <w:footnoteReference w:id="43"/>
      </w:r>
      <w:r w:rsidRPr="001609BB">
        <w:rPr>
          <w:rFonts w:ascii="Adobe Arabic" w:eastAsia="Times New Roman" w:hAnsi="Adobe Arabic" w:cs="Adobe Arabic"/>
          <w:color w:val="000000"/>
          <w:sz w:val="32"/>
          <w:szCs w:val="32"/>
          <w:rtl/>
        </w:rPr>
        <w:t> في الأوّل، وإمكان التعبّد بالظنّ في الثاني.</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وبعبارة مختصرة، نقصد بالحجّة هنا: كلّ ما يصلح للاحتجاج به.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ونحن هنا لن ندخل في تفاصيل الشروط المختلفة الخاصّة بكلّ علم، إلّا بالحدّ الذي يقتضيه المقام أو يرتبط بموضوع البحث.</w:t>
      </w:r>
    </w:p>
    <w:p w:rsidR="00BD4C4D" w:rsidRPr="00301758" w:rsidRDefault="00BD4C4D" w:rsidP="00B91DFA">
      <w:pPr>
        <w:pStyle w:val="Heading2"/>
        <w:bidi/>
        <w:jc w:val="both"/>
        <w:rPr>
          <w:rFonts w:ascii="Adobe Arabic" w:eastAsia="Times New Roman" w:hAnsi="Adobe Arabic" w:cs="Adobe Arabic"/>
          <w:b/>
          <w:bCs/>
          <w:color w:val="996633"/>
          <w:sz w:val="36"/>
          <w:szCs w:val="36"/>
          <w:rtl/>
        </w:rPr>
      </w:pPr>
      <w:bookmarkStart w:id="12" w:name="_Toc155869508"/>
      <w:r w:rsidRPr="00301758">
        <w:rPr>
          <w:rFonts w:ascii="Adobe Arabic" w:eastAsia="Times New Roman" w:hAnsi="Adobe Arabic" w:cs="Adobe Arabic"/>
          <w:b/>
          <w:bCs/>
          <w:color w:val="996633"/>
          <w:sz w:val="36"/>
          <w:szCs w:val="36"/>
          <w:rtl/>
        </w:rPr>
        <w:t>أصل حجّيّة القرآن الكريم</w:t>
      </w:r>
      <w:bookmarkEnd w:id="12"/>
      <w:r w:rsidR="00B91DFA">
        <w:rPr>
          <w:rStyle w:val="FootnoteReference"/>
          <w:rFonts w:ascii="Adobe Arabic" w:eastAsia="Times New Roman" w:hAnsi="Adobe Arabic" w:cs="Adobe Arabic"/>
          <w:b/>
          <w:bCs/>
          <w:color w:val="996633"/>
          <w:sz w:val="36"/>
          <w:szCs w:val="36"/>
          <w:rtl/>
        </w:rPr>
        <w:footnoteReference w:id="44"/>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تارةً يُبحَث عن حجّيّة الكتاب من حيث صدوره، وأخرى يُبحَث عن حجيّته من حيث ظهوره ومقاصده، وسنتناول في هذا الدرس البحث عن حجية الكتاب من حيث صدوره:</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حجّيّة الكتاب من حيث صدوره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أصل الحجّيّة للكتاب العزيز في زماننا الحاضر يتوقّف على تماميّة مقدّمتَين: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الأولى: وصوله إلينا عبر التواتر الموجب للقطع بكون الواصل إلينا هو النازل على نبيّه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وهذا حاصل فعلًا، فقد نقله المسلمون جيلًا إلى جيل، بدئًا بصدر الإسلام إلى عصرنا الحاضر.</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الثانية: إعجازه المثبِت لمصدره الإلهيّ، وذلك عبر مختلف الأساليب والمضامين؛ من الإعجاز بالإخبار عن المغيّبات، وبعدم الاختلاف فيه، وبتحقيق مسائل علميّة كانت مجهولة للبشر في عصر النزول، إلى الإعجاز البيانيّ البلاغيّ في النظم والأسلوب وغير ذلك</w:t>
      </w:r>
      <w:r w:rsidR="00B91DFA">
        <w:rPr>
          <w:rStyle w:val="FootnoteReference"/>
          <w:rFonts w:ascii="Adobe Arabic" w:eastAsia="Times New Roman" w:hAnsi="Adobe Arabic" w:cs="Adobe Arabic"/>
          <w:color w:val="000000"/>
          <w:sz w:val="32"/>
          <w:szCs w:val="32"/>
          <w:rtl/>
        </w:rPr>
        <w:footnoteReference w:id="45"/>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وبالجملة، فإنّ أصل حجّيّة القرآن الكريم أمرٌ مُجمَعٌ عليه بين الأمّة، لا حاجة إلى مزيد بحث فيه. وإنّما وقع الكلام في حدود دائرة هذه الحجّيّة، وهو ما يأخذنا للبحث في حجّيته من حيث الظهور، وهو ما سنتعرَّض له في الدرس الآتي.</w:t>
      </w:r>
    </w:p>
    <w:p w:rsidR="00064ACB" w:rsidRDefault="00064ACB">
      <w:pPr>
        <w:rPr>
          <w:rFonts w:ascii="Adobe Arabic" w:eastAsia="Times New Roman" w:hAnsi="Adobe Arabic" w:cs="Adobe Arabic"/>
          <w:b/>
          <w:bCs/>
          <w:color w:val="996633"/>
          <w:sz w:val="36"/>
          <w:szCs w:val="36"/>
          <w:rtl/>
        </w:rPr>
      </w:pPr>
      <w:bookmarkStart w:id="13" w:name="_Toc155869509"/>
      <w:r>
        <w:rPr>
          <w:rFonts w:ascii="Adobe Arabic" w:eastAsia="Times New Roman" w:hAnsi="Adobe Arabic" w:cs="Adobe Arabic"/>
          <w:b/>
          <w:bCs/>
          <w:color w:val="996633"/>
          <w:sz w:val="36"/>
          <w:szCs w:val="36"/>
          <w:rtl/>
        </w:rPr>
        <w:br w:type="page"/>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r w:rsidRPr="00301758">
        <w:rPr>
          <w:rFonts w:ascii="Adobe Arabic" w:eastAsia="Times New Roman" w:hAnsi="Adobe Arabic" w:cs="Adobe Arabic"/>
          <w:b/>
          <w:bCs/>
          <w:color w:val="996633"/>
          <w:sz w:val="36"/>
          <w:szCs w:val="36"/>
          <w:rtl/>
        </w:rPr>
        <w:lastRenderedPageBreak/>
        <w:t>المُحكَم والمتشابَه</w:t>
      </w:r>
      <w:bookmarkEnd w:id="13"/>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يرجع أصل التفصيل بين المُحكَم والمتشابَه في القرآن الكريم، إلى قوله تعالى: </w:t>
      </w:r>
      <w:r w:rsidRPr="008711A0">
        <w:rPr>
          <w:rFonts w:ascii="Traditional Arabic" w:eastAsia="Times New Roman" w:hAnsi="Traditional Arabic" w:cs="Traditional Arabic"/>
          <w:b/>
          <w:bCs/>
          <w:color w:val="538135" w:themeColor="accent6" w:themeShade="BF"/>
          <w:sz w:val="32"/>
          <w:szCs w:val="32"/>
          <w:rtl/>
        </w:rPr>
        <w:t>﴿هُوَ ٱلَّذِيٓ أَنزَلَ عَلَي</w:t>
      </w:r>
      <w:r w:rsidRPr="008711A0">
        <w:rPr>
          <w:rFonts w:ascii="Traditional Arabic" w:eastAsia="Times New Roman" w:hAnsi="Traditional Arabic" w:cs="Traditional Arabic" w:hint="cs"/>
          <w:b/>
          <w:bCs/>
          <w:color w:val="538135" w:themeColor="accent6" w:themeShade="BF"/>
          <w:sz w:val="32"/>
          <w:szCs w:val="32"/>
          <w:rtl/>
        </w:rPr>
        <w:t>ۡكَ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مُّحۡكَمَٰتٌ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وَأُخَرُ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فَأَمَّا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قُلُوبِهِمۡ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زَيۡغ</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فَيَتَّبِعُونَ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تَشَٰبَهَ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ٱبۡتِغَآءَ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ٱلۡفِتۡنَةِ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وَٱبۡتِغَآءَ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وَٱلرَّٰسِخُونَ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يَقُولُونَ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ءَامَنَّا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رَبِّنَاۗ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أُوْلُواْ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ٱلۡأَلۡبَٰبِ﴾</w:t>
      </w:r>
      <w:r w:rsidR="00B91DFA">
        <w:rPr>
          <w:rStyle w:val="FootnoteReference"/>
          <w:rFonts w:ascii="Traditional Arabic" w:eastAsia="Times New Roman" w:hAnsi="Traditional Arabic" w:cs="Traditional Arabic"/>
          <w:b/>
          <w:bCs/>
          <w:color w:val="538135" w:themeColor="accent6" w:themeShade="BF"/>
          <w:sz w:val="32"/>
          <w:szCs w:val="32"/>
          <w:rtl/>
        </w:rPr>
        <w:footnoteReference w:id="46"/>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المُحكَم والمتشابَه لغةً: الشِّبْهُ وَالشَّبَهُ وَالشَّبِيهُ: الْمِثْلُ، وَالْجَمْعُ أَشْبَاهٌ. وَأَشْبَهَ الشَّيْءُ الشَّيْءَ: مَاثَلَهُ. وَفِي الْمَثَلِ: مَنْ أَشْبَهَ أَبَاهُ فَمَا ظَلَمَ... وَفِي التَّنْزِيلِ: مُشْتَبِهًا وَغَيْرَ مُتَشَابِهٍ. وَشَبَّهَهُ إِيَّاهُ وَشَبَّهَهُ بِهِ مَثَّلَهُ. وَالْمُشْتَبِهَاتُ مِنَ الْأُمُورِ: الْمُشْكِلَاتُ. وَالْمُتَشَابِهَاتُ: الْمُتَمَاثِلَاتُ. وَتَشَبَّهَ فُلَانٌ بِكَذَا. وَالتَّشْبِيهُ: التَّمْثِيلُ، وَالشُّبْهَةُ: الْالْتِبَاسُ. وَأُمُورٌ مُشْتَبِهَةٌ وَمُشَبِّهَةٌ: مُشْكِلَةٌ يُشْبِهُ بَعْضُهَا بَعْضًا، وَشَبَّهَ عَلَيْهِ: خَلَّطَ عَلَيْهِ الْأَمْرَ حَتَّى اشْتَبَهَ </w:t>
      </w:r>
      <w:r w:rsidRPr="001609BB">
        <w:rPr>
          <w:rFonts w:ascii="Adobe Arabic" w:eastAsia="Times New Roman" w:hAnsi="Adobe Arabic" w:cs="Adobe Arabic"/>
          <w:color w:val="000000"/>
          <w:sz w:val="32"/>
          <w:szCs w:val="32"/>
          <w:rtl/>
          <w:lang w:val="en-GB"/>
        </w:rPr>
        <w:t>بِغَيْرِهِ</w:t>
      </w:r>
      <w:r w:rsidR="00B91DFA">
        <w:rPr>
          <w:rStyle w:val="FootnoteReference"/>
          <w:rFonts w:ascii="Adobe Arabic" w:eastAsia="Times New Roman" w:hAnsi="Adobe Arabic" w:cs="Adobe Arabic"/>
          <w:color w:val="000000"/>
          <w:sz w:val="32"/>
          <w:szCs w:val="32"/>
          <w:rtl/>
          <w:lang w:val="en-GB"/>
        </w:rPr>
        <w:footnoteReference w:id="47"/>
      </w:r>
      <w:r w:rsidRPr="001609BB">
        <w:rPr>
          <w:rFonts w:ascii="Adobe Arabic" w:eastAsia="Times New Roman" w:hAnsi="Adobe Arabic" w:cs="Adobe Arabic"/>
          <w:color w:val="000000"/>
          <w:sz w:val="32"/>
          <w:szCs w:val="32"/>
          <w:rtl/>
        </w:rPr>
        <w:t>.</w:t>
      </w:r>
    </w:p>
    <w:p w:rsidR="00BD4C4D" w:rsidRPr="001609BB" w:rsidRDefault="00BD4C4D" w:rsidP="00B91D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وأَحْكَمَ الأَمر: أَتقنه، أَحْكَمْتُ الشَّيْءَ فاسْتَحْكَمَ: صَارَ مُحْكَماً. واحْتَكَمَ الأَمرُ واسْتَحْكَمَ: وثُقَ</w:t>
      </w:r>
      <w:r w:rsidR="00B91DFA">
        <w:rPr>
          <w:rStyle w:val="FootnoteReference"/>
          <w:rFonts w:ascii="Adobe Arabic" w:eastAsia="Times New Roman" w:hAnsi="Adobe Arabic" w:cs="Adobe Arabic"/>
          <w:color w:val="000000"/>
          <w:sz w:val="32"/>
          <w:szCs w:val="32"/>
          <w:rtl/>
        </w:rPr>
        <w:footnoteReference w:id="48"/>
      </w:r>
      <w:r w:rsidRPr="001609BB">
        <w:rPr>
          <w:rFonts w:ascii="Adobe Arabic" w:eastAsia="Times New Roman" w:hAnsi="Adobe Arabic" w:cs="Adobe Arabic"/>
          <w:color w:val="000000"/>
          <w:sz w:val="32"/>
          <w:szCs w:val="32"/>
          <w:rtl/>
        </w:rPr>
        <w:t>.</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الإحكام والتشابه في استعمالات القرآن الكريم وأوصافه: لقد جاء في التنزيل وصفُ القرآن الكريم جميعه بأنّه كتابٌ مُحكم: </w:t>
      </w:r>
      <w:r w:rsidRPr="008711A0">
        <w:rPr>
          <w:rFonts w:ascii="Traditional Arabic" w:eastAsia="Times New Roman" w:hAnsi="Traditional Arabic" w:cs="Traditional Arabic"/>
          <w:b/>
          <w:bCs/>
          <w:color w:val="538135" w:themeColor="accent6" w:themeShade="BF"/>
          <w:sz w:val="32"/>
          <w:szCs w:val="32"/>
          <w:rtl/>
        </w:rPr>
        <w:t>﴿الٓر</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أُحۡكِمَتۡ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ثُمَّ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فُصِّلَتۡ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لَّدُنۡ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حَكِيمٍ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خَبِيرٍ﴾</w:t>
      </w:r>
      <w:r w:rsidR="00B91DFA">
        <w:rPr>
          <w:rStyle w:val="FootnoteReference"/>
          <w:rFonts w:ascii="Traditional Arabic" w:eastAsia="Times New Roman" w:hAnsi="Traditional Arabic" w:cs="Traditional Arabic"/>
          <w:b/>
          <w:bCs/>
          <w:color w:val="538135" w:themeColor="accent6" w:themeShade="BF"/>
          <w:sz w:val="32"/>
          <w:szCs w:val="32"/>
          <w:rtl/>
        </w:rPr>
        <w:footnoteReference w:id="49"/>
      </w:r>
      <w:r w:rsidRPr="001609BB">
        <w:rPr>
          <w:rFonts w:ascii="Adobe Arabic" w:eastAsia="Times New Roman" w:hAnsi="Adobe Arabic" w:cs="Adobe Arabic"/>
          <w:color w:val="000000"/>
          <w:sz w:val="32"/>
          <w:szCs w:val="32"/>
          <w:rtl/>
        </w:rPr>
        <w:t>. ونقل بعض اللغويّين</w:t>
      </w:r>
      <w:r w:rsidR="000C0E72">
        <w:rPr>
          <w:rStyle w:val="FootnoteReference"/>
          <w:rFonts w:ascii="Adobe Arabic" w:eastAsia="Times New Roman" w:hAnsi="Adobe Arabic" w:cs="Adobe Arabic"/>
          <w:color w:val="000000"/>
          <w:sz w:val="32"/>
          <w:szCs w:val="32"/>
          <w:rtl/>
        </w:rPr>
        <w:footnoteReference w:id="50"/>
      </w:r>
      <w:r w:rsidRPr="001609BB">
        <w:rPr>
          <w:rFonts w:ascii="Adobe Arabic" w:eastAsia="Times New Roman" w:hAnsi="Adobe Arabic" w:cs="Adobe Arabic"/>
          <w:color w:val="000000"/>
          <w:sz w:val="32"/>
          <w:szCs w:val="32"/>
          <w:rtl/>
        </w:rPr>
        <w:t> في قوله تعالى: </w:t>
      </w:r>
      <w:r w:rsidRPr="008711A0">
        <w:rPr>
          <w:rFonts w:ascii="Traditional Arabic" w:eastAsia="Times New Roman" w:hAnsi="Traditional Arabic" w:cs="Traditional Arabic"/>
          <w:b/>
          <w:bCs/>
          <w:color w:val="538135" w:themeColor="accent6" w:themeShade="BF"/>
          <w:sz w:val="32"/>
          <w:szCs w:val="32"/>
          <w:rtl/>
        </w:rPr>
        <w:t>﴿الٓر</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ٱلۡحَكِيمِ﴾</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1"/>
      </w:r>
      <w:r w:rsidRPr="001609BB">
        <w:rPr>
          <w:rFonts w:ascii="Adobe Arabic" w:eastAsia="Times New Roman" w:hAnsi="Adobe Arabic" w:cs="Adobe Arabic"/>
          <w:color w:val="000000"/>
          <w:sz w:val="32"/>
          <w:szCs w:val="32"/>
          <w:rtl/>
        </w:rPr>
        <w:t> أنّ "حكيم" هنا بمعنى مُحكَم.</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وكذلك جاء في التنزيل أيضًا، وصفُ القرآن جميعه بأنّه كتابٌ متشابه: </w:t>
      </w:r>
      <w:r w:rsidRPr="008711A0">
        <w:rPr>
          <w:rFonts w:ascii="Traditional Arabic" w:eastAsia="Times New Roman" w:hAnsi="Traditional Arabic" w:cs="Traditional Arabic"/>
          <w:b/>
          <w:bCs/>
          <w:color w:val="538135" w:themeColor="accent6" w:themeShade="BF"/>
          <w:sz w:val="32"/>
          <w:szCs w:val="32"/>
          <w:rtl/>
        </w:rPr>
        <w:t>﴿ٱللَّهُ نَزَّلَ أَح</w:t>
      </w:r>
      <w:r w:rsidRPr="008711A0">
        <w:rPr>
          <w:rFonts w:ascii="Traditional Arabic" w:eastAsia="Times New Roman" w:hAnsi="Traditional Arabic" w:cs="Traditional Arabic" w:hint="cs"/>
          <w:b/>
          <w:bCs/>
          <w:color w:val="538135" w:themeColor="accent6" w:themeShade="BF"/>
          <w:sz w:val="32"/>
          <w:szCs w:val="32"/>
          <w:rtl/>
        </w:rPr>
        <w:t>ۡسَنَ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ٱلۡحَدِيثِ</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كِتَٰبا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مُّتَشَٰبِها﴾</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2"/>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ويظهر أنّ الإحكام والتشابُه هنا استُعمِلا في معناهما اللغويّ، فالإحكام استُعمِل لوصف ما في القرآن من إحكام النظم وإتقانه، وما فيه من التماسك والانسجام في الأفكار والمفاهيم والأنظمة والقوانين، أو لوصف حالٍ من حالات الكتاب، كان عليها قبل النزول، وهي كونه واحداً لم يطرأ عليه التجزُّؤ والتبعُّض بعد، بتكثُّر الآيات، فهو إتقانه قبل وجود التبعُّض، فهذا الإِحكام وصفٌ لتمام الكتاب كما ذهب إليه صاحب تفسير الميزان </w:t>
      </w:r>
      <w:r w:rsidR="001609BB" w:rsidRPr="001609BB">
        <w:rPr>
          <w:rFonts w:ascii="Adobe Arabic" w:eastAsia="Times New Roman" w:hAnsi="Adobe Arabic" w:cs="Adobe Arabic"/>
          <w:color w:val="000000"/>
          <w:sz w:val="32"/>
          <w:szCs w:val="32"/>
          <w:rtl/>
        </w:rPr>
        <w:t>(قدس سره)</w:t>
      </w:r>
      <w:r w:rsidR="000C0E72">
        <w:rPr>
          <w:rStyle w:val="FootnoteReference"/>
          <w:rFonts w:ascii="Adobe Arabic" w:eastAsia="Times New Roman" w:hAnsi="Adobe Arabic" w:cs="Adobe Arabic"/>
          <w:color w:val="000000"/>
          <w:sz w:val="32"/>
          <w:szCs w:val="32"/>
          <w:rtl/>
        </w:rPr>
        <w:footnoteReference w:id="53"/>
      </w:r>
      <w:r w:rsidRPr="001609BB">
        <w:rPr>
          <w:rFonts w:ascii="Adobe Arabic" w:eastAsia="Times New Roman" w:hAnsi="Adobe Arabic" w:cs="Adobe Arabic"/>
          <w:color w:val="000000"/>
          <w:sz w:val="32"/>
          <w:szCs w:val="32"/>
          <w:rtl/>
        </w:rPr>
        <w:t>.</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والأمر كذلك في وصفه بالتشابه في قوله تعالى: </w:t>
      </w:r>
      <w:r w:rsidRPr="008711A0">
        <w:rPr>
          <w:rFonts w:ascii="Traditional Arabic" w:eastAsia="Times New Roman" w:hAnsi="Traditional Arabic" w:cs="Traditional Arabic"/>
          <w:b/>
          <w:bCs/>
          <w:color w:val="538135" w:themeColor="accent6" w:themeShade="BF"/>
          <w:sz w:val="32"/>
          <w:szCs w:val="32"/>
          <w:rtl/>
        </w:rPr>
        <w:t>﴿ٱللَّهُ نَزَّلَ أَح</w:t>
      </w:r>
      <w:r w:rsidRPr="008711A0">
        <w:rPr>
          <w:rFonts w:ascii="Traditional Arabic" w:eastAsia="Times New Roman" w:hAnsi="Traditional Arabic" w:cs="Traditional Arabic" w:hint="cs"/>
          <w:b/>
          <w:bCs/>
          <w:color w:val="538135" w:themeColor="accent6" w:themeShade="BF"/>
          <w:sz w:val="32"/>
          <w:szCs w:val="32"/>
          <w:rtl/>
        </w:rPr>
        <w:t>ۡسَنَ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ٱلۡحَدِيثِ</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كِتَٰبا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مَّثَانِيَ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تَقۡشَعِرُّ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جُلُودُ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يَخۡشَوۡنَ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رَبَّهُمۡ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ثُمَّ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تَلِينُ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جُلُودُهُمۡ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وَقُلُوبُهُمۡ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هُدَى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w:t>
      </w:r>
      <w:r w:rsidRPr="008711A0">
        <w:rPr>
          <w:rFonts w:ascii="Traditional Arabic" w:eastAsia="Times New Roman" w:hAnsi="Traditional Arabic" w:cs="Traditional Arabic"/>
          <w:b/>
          <w:bCs/>
          <w:color w:val="538135" w:themeColor="accent6" w:themeShade="BF"/>
          <w:sz w:val="32"/>
          <w:szCs w:val="32"/>
          <w:rtl/>
        </w:rPr>
        <w:t>َهِ يَه</w:t>
      </w:r>
      <w:r w:rsidRPr="008711A0">
        <w:rPr>
          <w:rFonts w:ascii="Traditional Arabic" w:eastAsia="Times New Roman" w:hAnsi="Traditional Arabic" w:cs="Traditional Arabic" w:hint="cs"/>
          <w:b/>
          <w:bCs/>
          <w:color w:val="538135" w:themeColor="accent6" w:themeShade="BF"/>
          <w:sz w:val="32"/>
          <w:szCs w:val="32"/>
          <w:rtl/>
        </w:rPr>
        <w:t>ۡدِي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يَشَآءُۚ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يُضۡلِلِ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هَادٍ﴾</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4"/>
      </w:r>
      <w:r w:rsidRPr="001609BB">
        <w:rPr>
          <w:rFonts w:ascii="Adobe Arabic" w:eastAsia="Times New Roman" w:hAnsi="Adobe Arabic" w:cs="Adobe Arabic"/>
          <w:color w:val="000000"/>
          <w:sz w:val="32"/>
          <w:szCs w:val="32"/>
          <w:rtl/>
        </w:rPr>
        <w:t>، حيث أطلق وصف "المتشابه" عليه لمحض التماثل والتشابه بين بعضه وبعضه الآخر، في الأسلوب والهدف، الذي هو من دلائل إعجازه، كما في قوله تعالى: </w:t>
      </w:r>
      <w:r w:rsidRPr="008711A0">
        <w:rPr>
          <w:rFonts w:ascii="Traditional Arabic" w:eastAsia="Times New Roman" w:hAnsi="Traditional Arabic" w:cs="Traditional Arabic"/>
          <w:b/>
          <w:bCs/>
          <w:color w:val="538135" w:themeColor="accent6" w:themeShade="BF"/>
          <w:sz w:val="32"/>
          <w:szCs w:val="32"/>
          <w:rtl/>
        </w:rPr>
        <w:t>﴿أَفَلَا يَتَدَبَّرُونَ ٱل</w:t>
      </w:r>
      <w:r w:rsidRPr="008711A0">
        <w:rPr>
          <w:rFonts w:ascii="Traditional Arabic" w:eastAsia="Times New Roman" w:hAnsi="Traditional Arabic" w:cs="Traditional Arabic" w:hint="cs"/>
          <w:b/>
          <w:bCs/>
          <w:color w:val="538135" w:themeColor="accent6" w:themeShade="BF"/>
          <w:sz w:val="32"/>
          <w:szCs w:val="32"/>
          <w:rtl/>
        </w:rPr>
        <w:t>ۡقُرۡءَانَۚ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لَوَجَدُواْ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ٱخۡتِ</w:t>
      </w:r>
      <w:r w:rsidRPr="008711A0">
        <w:rPr>
          <w:rFonts w:ascii="Traditional Arabic" w:eastAsia="Times New Roman" w:hAnsi="Traditional Arabic" w:cs="Traditional Arabic"/>
          <w:b/>
          <w:bCs/>
          <w:color w:val="538135" w:themeColor="accent6" w:themeShade="BF"/>
          <w:sz w:val="32"/>
          <w:szCs w:val="32"/>
          <w:rtl/>
        </w:rPr>
        <w:t>لَٰفا كَثِيرا﴾</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5"/>
      </w:r>
      <w:r w:rsidRPr="001609BB">
        <w:rPr>
          <w:rFonts w:ascii="Adobe Arabic" w:eastAsia="Times New Roman" w:hAnsi="Adobe Arabic" w:cs="Adobe Arabic"/>
          <w:color w:val="000000"/>
          <w:sz w:val="32"/>
          <w:szCs w:val="32"/>
          <w:rtl/>
        </w:rPr>
        <w:t>،</w:t>
      </w:r>
      <w:r w:rsidR="000C0E72">
        <w:rPr>
          <w:rStyle w:val="FootnoteReference"/>
          <w:rFonts w:ascii="Adobe Arabic" w:eastAsia="Times New Roman" w:hAnsi="Adobe Arabic" w:cs="Adobe Arabic"/>
          <w:color w:val="000000"/>
          <w:sz w:val="32"/>
          <w:szCs w:val="32"/>
          <w:rtl/>
        </w:rPr>
        <w:footnoteReference w:id="56"/>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أمّا استعمالات القرآن الكريم الأخرى لـ"التشابه" فلم تخرج عن معنى المثل والشبه أيضًا. ونضرب لذلك أمثلة:</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t>﴿وَبَشِّرِ ٱلَّذِينَ ءَامَنُواْ وَعَمِلُواْ ٱلصَّٰلِحَٰتِ أَنَّ لَهُم</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جَنَّٰت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تَجۡرِي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تَحۡتِهَا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ٱلۡأَنۡهَٰرُۖ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كُلَّمَا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رُزِقُواْ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ثَمَرَة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رِّزۡقا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قَالُواْ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هَٰذَا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رُزِقۡنَا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قَبۡلُۖ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وَأُتُواْ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مُتَشَٰبِهاۖ﴾</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7"/>
      </w:r>
      <w:r w:rsidRPr="001609BB">
        <w:rPr>
          <w:rFonts w:ascii="Adobe Arabic" w:eastAsia="Times New Roman" w:hAnsi="Adobe Arabic" w:cs="Adobe Arabic"/>
          <w:color w:val="000000"/>
          <w:sz w:val="32"/>
          <w:szCs w:val="32"/>
          <w:rtl/>
        </w:rPr>
        <w:t>.</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t>﴿وَهُوَ ٱلَّذِيٓ أَنزَلَ مِنَ ٱلسَّمَآءِ مَآء فَأَخ</w:t>
      </w:r>
      <w:r w:rsidRPr="008711A0">
        <w:rPr>
          <w:rFonts w:ascii="Traditional Arabic" w:eastAsia="Times New Roman" w:hAnsi="Traditional Arabic" w:cs="Traditional Arabic" w:hint="cs"/>
          <w:b/>
          <w:bCs/>
          <w:color w:val="538135" w:themeColor="accent6" w:themeShade="BF"/>
          <w:sz w:val="32"/>
          <w:szCs w:val="32"/>
          <w:rtl/>
        </w:rPr>
        <w:t>ۡرَجۡنَا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w:t>
      </w:r>
      <w:r w:rsidRPr="008711A0">
        <w:rPr>
          <w:rFonts w:ascii="Traditional Arabic" w:eastAsia="Times New Roman" w:hAnsi="Traditional Arabic" w:cs="Traditional Arabic"/>
          <w:b/>
          <w:bCs/>
          <w:color w:val="538135" w:themeColor="accent6" w:themeShade="BF"/>
          <w:sz w:val="32"/>
          <w:szCs w:val="32"/>
          <w:rtl/>
        </w:rPr>
        <w:t>بَاتَ كُلِّ شَي</w:t>
      </w:r>
      <w:r w:rsidRPr="008711A0">
        <w:rPr>
          <w:rFonts w:ascii="Traditional Arabic" w:eastAsia="Times New Roman" w:hAnsi="Traditional Arabic" w:cs="Traditional Arabic" w:hint="cs"/>
          <w:b/>
          <w:bCs/>
          <w:color w:val="538135" w:themeColor="accent6" w:themeShade="BF"/>
          <w:sz w:val="32"/>
          <w:szCs w:val="32"/>
          <w:rtl/>
        </w:rPr>
        <w:t>ۡء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فَأَخۡرَجۡنَا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خَضِرا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نُّخۡرِجُ</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حَبّا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مُّتَرَاكِبا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ٱلنَّخۡلِ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طَلۡعِهَا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قِنۡوَان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دَانِيَة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وَجَنَّٰت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أَعۡنَاب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وَٱلزَّيۡتُونَ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وَٱلرُّمَّانَ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مُشۡتَبِها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ٱنظُرُوٓاْ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ثَمَرِهِۦٓ</w:t>
      </w:r>
      <w:r w:rsidRPr="008711A0">
        <w:rPr>
          <w:rFonts w:ascii="Traditional Arabic" w:eastAsia="Times New Roman" w:hAnsi="Traditional Arabic" w:cs="Traditional Arabic"/>
          <w:b/>
          <w:bCs/>
          <w:color w:val="538135" w:themeColor="accent6" w:themeShade="BF"/>
          <w:sz w:val="32"/>
          <w:szCs w:val="32"/>
          <w:rtl/>
        </w:rPr>
        <w:t xml:space="preserve"> إِذَآ أَث</w:t>
      </w:r>
      <w:r w:rsidRPr="008711A0">
        <w:rPr>
          <w:rFonts w:ascii="Traditional Arabic" w:eastAsia="Times New Roman" w:hAnsi="Traditional Arabic" w:cs="Traditional Arabic" w:hint="cs"/>
          <w:b/>
          <w:bCs/>
          <w:color w:val="538135" w:themeColor="accent6" w:themeShade="BF"/>
          <w:sz w:val="32"/>
          <w:szCs w:val="32"/>
          <w:rtl/>
        </w:rPr>
        <w:t>ۡمَرَ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وَيَنۡعِهِۦٓۚ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ذَٰلِكُمۡ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لَأٓيَٰت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لِّقَوۡم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يُؤۡمِنُونَ﴾</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8"/>
      </w:r>
      <w:r w:rsidRPr="001609BB">
        <w:rPr>
          <w:rFonts w:ascii="Adobe Arabic" w:eastAsia="Times New Roman" w:hAnsi="Adobe Arabic" w:cs="Adobe Arabic"/>
          <w:color w:val="000000"/>
          <w:sz w:val="32"/>
          <w:szCs w:val="32"/>
          <w:rtl/>
        </w:rPr>
        <w:t>.</w:t>
      </w:r>
    </w:p>
    <w:p w:rsidR="00064ACB" w:rsidRDefault="00064ACB">
      <w:pPr>
        <w:rPr>
          <w:rFonts w:ascii="Traditional Arabic" w:eastAsia="Times New Roman" w:hAnsi="Traditional Arabic" w:cs="Traditional Arabic"/>
          <w:b/>
          <w:bCs/>
          <w:color w:val="538135" w:themeColor="accent6" w:themeShade="BF"/>
          <w:sz w:val="32"/>
          <w:szCs w:val="32"/>
          <w:rtl/>
        </w:rPr>
      </w:pPr>
      <w:r>
        <w:rPr>
          <w:rFonts w:ascii="Traditional Arabic" w:eastAsia="Times New Roman" w:hAnsi="Traditional Arabic" w:cs="Traditional Arabic"/>
          <w:b/>
          <w:bCs/>
          <w:color w:val="538135" w:themeColor="accent6" w:themeShade="BF"/>
          <w:sz w:val="32"/>
          <w:szCs w:val="32"/>
          <w:rtl/>
        </w:rPr>
        <w:br w:type="page"/>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lastRenderedPageBreak/>
        <w:t>﴿وَهُوَ ٱلَّذِيٓ أَنشَأَ جَنَّٰت مَّع</w:t>
      </w:r>
      <w:r w:rsidRPr="008711A0">
        <w:rPr>
          <w:rFonts w:ascii="Traditional Arabic" w:eastAsia="Times New Roman" w:hAnsi="Traditional Arabic" w:cs="Traditional Arabic" w:hint="cs"/>
          <w:b/>
          <w:bCs/>
          <w:color w:val="538135" w:themeColor="accent6" w:themeShade="BF"/>
          <w:sz w:val="32"/>
          <w:szCs w:val="32"/>
          <w:rtl/>
        </w:rPr>
        <w:t>ۡرُوشَٰت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مَعۡرُوشَٰت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وَٱلنَّخۡلَ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وَٱلزَّرۡعَ</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مُخۡتَلِفًا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أُكُلُهُۥ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وَٱلزَّيۡتُونَ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وَٱلرُّمَّانَ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مُتَشَٰبِهۚ﴾</w:t>
      </w:r>
      <w:r w:rsidR="000C0E72">
        <w:rPr>
          <w:rStyle w:val="FootnoteReference"/>
          <w:rFonts w:ascii="Traditional Arabic" w:eastAsia="Times New Roman" w:hAnsi="Traditional Arabic" w:cs="Traditional Arabic"/>
          <w:b/>
          <w:bCs/>
          <w:color w:val="538135" w:themeColor="accent6" w:themeShade="BF"/>
          <w:sz w:val="32"/>
          <w:szCs w:val="32"/>
          <w:rtl/>
        </w:rPr>
        <w:footnoteReference w:id="59"/>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الأقوال في المُحكَم والمتشابه في الآية السابعة من سورة آل عمران:</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قد تعدّدَت الأقوال في المراد من المٌحكَم والمتشابه في هذه الآية، حتّى أحصى صاحبُ تفسير الميزان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ستّة عشر قولًا، ونذكر في ما يلي أهمّ</w:t>
      </w:r>
      <w:r w:rsidR="000C0E72">
        <w:rPr>
          <w:rStyle w:val="FootnoteReference"/>
          <w:rFonts w:ascii="Adobe Arabic" w:eastAsia="Times New Roman" w:hAnsi="Adobe Arabic" w:cs="Adobe Arabic"/>
          <w:color w:val="000000"/>
          <w:sz w:val="32"/>
          <w:szCs w:val="32"/>
          <w:rtl/>
        </w:rPr>
        <w:footnoteReference w:id="60"/>
      </w:r>
      <w:r w:rsidRPr="001609BB">
        <w:rPr>
          <w:rFonts w:ascii="Adobe Arabic" w:eastAsia="Times New Roman" w:hAnsi="Adobe Arabic" w:cs="Adobe Arabic"/>
          <w:color w:val="000000"/>
          <w:sz w:val="32"/>
          <w:szCs w:val="32"/>
          <w:rtl/>
        </w:rPr>
        <w:t> هذه الأقوال والاتّجاهات ملخّصة:</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المتشابه خلاف الظاهر: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ويمكن تلخيص هذا الرأي كما صاغه الفخر الرازيّ كالآتي: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ينقسم اللفظ، بحسب دلالته على المعنى إلى أربعة أقسام: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 النصّ: وهو ما كانت دلالته على المعنى بالنحو الذي لا تفسح مجالًا لاحتمال معنى آخر.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ب. الظاهر: وهو ما كانت دلالته على المعنى بنحو راجح، مع احتمال معنى آخر.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ج. المشترك والمجمل: وهو ما كان دالًّا على معنيَين بنجو متساو.</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د. المؤوَّل: وهو ما كان دالًّا على المعنى بنحو مرجوح، فهو عكس الظاهر.</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و"المحكم": ما كانت دلالته على المعنى من القسم الأوّل والثاني، لوجود الترجيح فيهما. و"المتشابه": ما كانت دلالته على المعنى من القسم الثالث والرابع، لاشتراكهما في أنّ دلالة اللفظ فيهما غير راجحة، وإنّما سُمِّيا متشابهًا لعدم حصول فهم المعنى فيهما</w:t>
      </w:r>
      <w:r w:rsidR="000C0E72">
        <w:rPr>
          <w:rStyle w:val="FootnoteReference"/>
          <w:rFonts w:ascii="Adobe Arabic" w:eastAsia="Times New Roman" w:hAnsi="Adobe Arabic" w:cs="Adobe Arabic"/>
          <w:color w:val="000000"/>
          <w:sz w:val="32"/>
          <w:szCs w:val="32"/>
          <w:rtl/>
        </w:rPr>
        <w:footnoteReference w:id="61"/>
      </w:r>
      <w:r w:rsidRPr="001609BB">
        <w:rPr>
          <w:rFonts w:ascii="Adobe Arabic" w:eastAsia="Times New Roman" w:hAnsi="Adobe Arabic" w:cs="Adobe Arabic"/>
          <w:color w:val="000000"/>
          <w:sz w:val="32"/>
          <w:szCs w:val="32"/>
          <w:rtl/>
        </w:rPr>
        <w:t>.</w:t>
      </w:r>
    </w:p>
    <w:p w:rsidR="00064AC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ويقرب ممّا ذكره الرازيّ ما نُسِب إلى الشافعيّ، من كَون المحكم من الآيات ما لا </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يحتمل من التأويل إلّا وجهًا واحدًا، والمتشابه ما احتمل من التأويل أوجهًا كثيرة، وما نُسِب إلى أحمد من كَون المتشابه ما يحتاج إلى بيان، والمحكم بخلافه</w:t>
      </w:r>
      <w:r w:rsidR="000C0E72">
        <w:rPr>
          <w:rStyle w:val="FootnoteReference"/>
          <w:rFonts w:ascii="Adobe Arabic" w:eastAsia="Times New Roman" w:hAnsi="Adobe Arabic" w:cs="Adobe Arabic"/>
          <w:color w:val="000000"/>
          <w:sz w:val="32"/>
          <w:szCs w:val="32"/>
          <w:rtl/>
        </w:rPr>
        <w:footnoteReference w:id="62"/>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وظاهر هذا الاتّجاه إرجاع التشابه إلى التشابه في المفاهيم ومعاني الألفاظ؛ أي في علاقة اللفظ بالمعنى، أو ما يُسَمّى بالدلالة التصوريّة.</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رأي العلَّامة الطباطبائيّ</w:t>
      </w:r>
      <w:r w:rsidR="001609BB" w:rsidRPr="008103F8">
        <w:rPr>
          <w:rFonts w:ascii="Adobe Arabic" w:eastAsia="Times New Roman" w:hAnsi="Adobe Arabic" w:cs="Adobe Arabic"/>
          <w:b/>
          <w:bCs/>
          <w:color w:val="000000"/>
          <w:sz w:val="32"/>
          <w:szCs w:val="32"/>
          <w:rtl/>
        </w:rPr>
        <w:t>(قدس سره)</w:t>
      </w:r>
      <w:r w:rsidRPr="008103F8">
        <w:rPr>
          <w:rFonts w:ascii="Adobe Arabic" w:eastAsia="Times New Roman" w:hAnsi="Adobe Arabic" w:cs="Adobe Arabic"/>
          <w:b/>
          <w:bCs/>
          <w:color w:val="000000"/>
          <w:sz w:val="32"/>
          <w:szCs w:val="32"/>
          <w:rtl/>
        </w:rPr>
        <w:t>:</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رأى العلَّامة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أنّ المراد بالتشابه كون الآية بحيث لا يتعيَّن مرادُها لفهم السامع بمجرّد استماعها، بل يتردَّد بين معنى ومعنى، حتّى يرجع إلى محكمات الكتاب، فتعيّن هي معناها وتبيّنها بياناً، فتصير الآية المتشابهة -عند ذلك- محكمة بواسطة الآية المحكمة. والآية المحكمة محكمة بنفسها، كما في قوله: </w:t>
      </w:r>
      <w:r w:rsidRPr="008711A0">
        <w:rPr>
          <w:rFonts w:ascii="Traditional Arabic" w:eastAsia="Times New Roman" w:hAnsi="Traditional Arabic" w:cs="Traditional Arabic"/>
          <w:b/>
          <w:bCs/>
          <w:color w:val="538135" w:themeColor="accent6" w:themeShade="BF"/>
          <w:sz w:val="32"/>
          <w:szCs w:val="32"/>
          <w:rtl/>
        </w:rPr>
        <w:t>﴿ٱلرَّح</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ٱلۡعَرۡشِ</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ٱسۡتَوَىٰ﴾</w:t>
      </w:r>
      <w:r w:rsidR="000C0E72">
        <w:rPr>
          <w:rStyle w:val="FootnoteReference"/>
          <w:rFonts w:ascii="Traditional Arabic" w:eastAsia="Times New Roman" w:hAnsi="Traditional Arabic" w:cs="Traditional Arabic"/>
          <w:b/>
          <w:bCs/>
          <w:color w:val="538135" w:themeColor="accent6" w:themeShade="BF"/>
          <w:sz w:val="32"/>
          <w:szCs w:val="32"/>
          <w:rtl/>
        </w:rPr>
        <w:footnoteReference w:id="63"/>
      </w:r>
      <w:r w:rsidRPr="001609BB">
        <w:rPr>
          <w:rFonts w:ascii="Adobe Arabic" w:eastAsia="Times New Roman" w:hAnsi="Adobe Arabic" w:cs="Adobe Arabic"/>
          <w:color w:val="000000"/>
          <w:sz w:val="32"/>
          <w:szCs w:val="32"/>
          <w:rtl/>
        </w:rPr>
        <w:t>، حيث يشتبه المراد منه على السامع أوّل ما يسمعه، فإذا رجع إلى مثل قوله تعالى: </w:t>
      </w:r>
      <w:r w:rsidRPr="008711A0">
        <w:rPr>
          <w:rFonts w:ascii="Traditional Arabic" w:eastAsia="Times New Roman" w:hAnsi="Traditional Arabic" w:cs="Traditional Arabic"/>
          <w:b/>
          <w:bCs/>
          <w:color w:val="538135" w:themeColor="accent6" w:themeShade="BF"/>
          <w:sz w:val="32"/>
          <w:szCs w:val="32"/>
          <w:rtl/>
        </w:rPr>
        <w:t>﴿لَي</w:t>
      </w:r>
      <w:r w:rsidRPr="008711A0">
        <w:rPr>
          <w:rFonts w:ascii="Traditional Arabic" w:eastAsia="Times New Roman" w:hAnsi="Traditional Arabic" w:cs="Traditional Arabic" w:hint="cs"/>
          <w:b/>
          <w:bCs/>
          <w:color w:val="538135" w:themeColor="accent6" w:themeShade="BF"/>
          <w:sz w:val="32"/>
          <w:szCs w:val="32"/>
          <w:rtl/>
        </w:rPr>
        <w:t>ۡسَ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كَمِثۡلِهِۦ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شَيۡءۖ﴾</w:t>
      </w:r>
      <w:r w:rsidR="000C0E72">
        <w:rPr>
          <w:rStyle w:val="FootnoteReference"/>
          <w:rFonts w:ascii="Traditional Arabic" w:eastAsia="Times New Roman" w:hAnsi="Traditional Arabic" w:cs="Traditional Arabic"/>
          <w:b/>
          <w:bCs/>
          <w:color w:val="538135" w:themeColor="accent6" w:themeShade="BF"/>
          <w:sz w:val="32"/>
          <w:szCs w:val="32"/>
          <w:rtl/>
        </w:rPr>
        <w:footnoteReference w:id="64"/>
      </w:r>
      <w:r w:rsidRPr="001609BB">
        <w:rPr>
          <w:rFonts w:ascii="Adobe Arabic" w:eastAsia="Times New Roman" w:hAnsi="Adobe Arabic" w:cs="Adobe Arabic"/>
          <w:color w:val="000000"/>
          <w:sz w:val="32"/>
          <w:szCs w:val="32"/>
          <w:rtl/>
        </w:rPr>
        <w:t>، استقرّ الذهن على أنّ المراد به التسلُّط على المُلك، والإِحاطة على الخلق، دون التمكّن والاعتماد على المكان المستلزم للتجسّم المستحيل على الله سبحانه، وكذا إذا عرضت الآية المنسوخة على الآية الناسخة، تبيّن أنّ المراد بها حكم محدود بحدّ الحكم الناسخ، وهكذا.</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واستفاد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هذا المعنى للمتشابه من قرينة المقابلة في الآية بين قوله تعالى: </w:t>
      </w:r>
      <w:r w:rsidRPr="008711A0">
        <w:rPr>
          <w:rFonts w:ascii="Traditional Arabic" w:eastAsia="Times New Roman" w:hAnsi="Traditional Arabic" w:cs="Traditional Arabic"/>
          <w:b/>
          <w:bCs/>
          <w:color w:val="538135" w:themeColor="accent6" w:themeShade="BF"/>
          <w:sz w:val="32"/>
          <w:szCs w:val="32"/>
          <w:rtl/>
        </w:rPr>
        <w:t>﴿ وَأُخَرُ مُتَشَٰبِهَٰت</w:t>
      </w:r>
      <w:r w:rsidRPr="008711A0">
        <w:rPr>
          <w:rFonts w:ascii="Traditional Arabic" w:eastAsia="Times New Roman" w:hAnsi="Traditional Arabic" w:cs="Traditional Arabic" w:hint="cs"/>
          <w:b/>
          <w:bCs/>
          <w:color w:val="538135" w:themeColor="accent6" w:themeShade="BF"/>
          <w:sz w:val="32"/>
          <w:szCs w:val="32"/>
          <w:rtl/>
        </w:rPr>
        <w:t>ۖ﴾</w:t>
      </w:r>
      <w:r w:rsidRPr="001609BB">
        <w:rPr>
          <w:rFonts w:ascii="Adobe Arabic" w:eastAsia="Times New Roman" w:hAnsi="Adobe Arabic" w:cs="Adobe Arabic" w:hint="cs"/>
          <w:color w:val="000000"/>
          <w:sz w:val="32"/>
          <w:szCs w:val="32"/>
          <w:rtl/>
        </w:rPr>
        <w:t>،</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وقوله</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مُّحۡكَمَٰتٌ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1609BB">
        <w:rPr>
          <w:rFonts w:ascii="Adobe Arabic" w:eastAsia="Times New Roman" w:hAnsi="Adobe Arabic" w:cs="Adobe Arabic" w:hint="cs"/>
          <w:color w:val="000000"/>
          <w:sz w:val="32"/>
          <w:szCs w:val="32"/>
          <w:rtl/>
        </w:rPr>
        <w:t>،</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بالإضافة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إلى</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ذكر</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اتّباع</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الذين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قلوبهم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زيغ</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لها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اب</w:t>
      </w:r>
      <w:r w:rsidRPr="001609BB">
        <w:rPr>
          <w:rFonts w:ascii="Adobe Arabic" w:eastAsia="Times New Roman" w:hAnsi="Adobe Arabic" w:cs="Adobe Arabic"/>
          <w:color w:val="000000"/>
          <w:sz w:val="32"/>
          <w:szCs w:val="32"/>
          <w:rtl/>
        </w:rPr>
        <w:t>تغاء الفتنة وابتغاء التأويل</w:t>
      </w:r>
      <w:r w:rsidR="000C0E72">
        <w:rPr>
          <w:rStyle w:val="FootnoteReference"/>
          <w:rFonts w:ascii="Adobe Arabic" w:eastAsia="Times New Roman" w:hAnsi="Adobe Arabic" w:cs="Adobe Arabic"/>
          <w:color w:val="000000"/>
          <w:sz w:val="32"/>
          <w:szCs w:val="32"/>
          <w:rtl/>
        </w:rPr>
        <w:footnoteReference w:id="65"/>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lastRenderedPageBreak/>
        <w:t>3. التشابه هو في تحديد المصداق الواقعيّ: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رأى السيّد محمّد باقر الصدر</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أنّ التشابه المقصود في الآية الكريمة يقع ضمن نطاق التشابه في تجسيد صورة المعنى وتحديد مصداقه الواقعيّ الموضوعيّ، لا في نطاق التشابه في العلاقة بين اللفظ ومفهومه اللغويّ (المعنى).</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واستفاد هذا المعنى على أساس وجود قرينة خاصة في الآية الكريمة، تجعلها تأبى الحمل على هذا اللون من التشابه. وهذه القرينة مستفادة من قوله تعالى: </w:t>
      </w:r>
      <w:r w:rsidRPr="008711A0">
        <w:rPr>
          <w:rFonts w:ascii="Traditional Arabic" w:eastAsia="Times New Roman" w:hAnsi="Traditional Arabic" w:cs="Traditional Arabic"/>
          <w:b/>
          <w:bCs/>
          <w:color w:val="538135" w:themeColor="accent6" w:themeShade="BF"/>
          <w:sz w:val="32"/>
          <w:szCs w:val="32"/>
          <w:rtl/>
        </w:rPr>
        <w:t>﴿فَيَتَّبِعُونَ مَا تَشَٰبَهَ مِن</w:t>
      </w:r>
      <w:r w:rsidRPr="008711A0">
        <w:rPr>
          <w:rFonts w:ascii="Traditional Arabic" w:eastAsia="Times New Roman" w:hAnsi="Traditional Arabic" w:cs="Traditional Arabic" w:hint="cs"/>
          <w:b/>
          <w:bCs/>
          <w:color w:val="538135" w:themeColor="accent6" w:themeShade="BF"/>
          <w:sz w:val="32"/>
          <w:szCs w:val="32"/>
          <w:rtl/>
        </w:rPr>
        <w:t>ۡهُ﴾</w:t>
      </w:r>
      <w:r w:rsidR="000C0E72">
        <w:rPr>
          <w:rStyle w:val="FootnoteReference"/>
          <w:rFonts w:ascii="Traditional Arabic" w:eastAsia="Times New Roman" w:hAnsi="Traditional Arabic" w:cs="Traditional Arabic"/>
          <w:b/>
          <w:bCs/>
          <w:color w:val="538135" w:themeColor="accent6" w:themeShade="BF"/>
          <w:sz w:val="32"/>
          <w:szCs w:val="32"/>
          <w:rtl/>
        </w:rPr>
        <w:footnoteReference w:id="66"/>
      </w:r>
      <w:r w:rsidRPr="001609BB">
        <w:rPr>
          <w:rFonts w:ascii="Adobe Arabic" w:eastAsia="Times New Roman" w:hAnsi="Adobe Arabic" w:cs="Adobe Arabic"/>
          <w:color w:val="000000"/>
          <w:sz w:val="32"/>
          <w:szCs w:val="32"/>
          <w:rtl/>
        </w:rPr>
        <w:t>؛ فإنّ مفهوم "الاتباع" المستفاد من هذه الفقرة لا ينطبق إلّا في حالة ما إذا كان للفظ مفهوم لغويّ يكون أخذُه والعملُ به اتّباعًا له، إذ ليس من اتّباع الكلام -أيّ كلام- أن يُؤخذ بأحد معانيه المشتركة أو المردّدة، إذا لم يكن له ظهور فيها، وإنّما يكون هذا العمل من اتّباع الهوى والرأي الشخصيّ في تعيين المعنى؛ لأنّ الكلام لا يعيّنه.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إذًا، فالتشابه لم ينشأ من ناحية الاختلاط والتردّد في معاني اللفظ ومفهومه اللغويّ؛ لأنّنا فرضنا أن يكون للفظ مفهوم لغويّ معيّن، وإنّما ينشأ من ناحية أخرى، وهي الاختلاط والتردّد في تجسيد الصورة الواقعيّة لهذا المفهوم اللغويّ المعيّن، وتحديد مصداقه في الذهن من ناحية خارجيّة.</w:t>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وفي قوله تعالى: </w:t>
      </w:r>
      <w:r w:rsidRPr="008711A0">
        <w:rPr>
          <w:rFonts w:ascii="Traditional Arabic" w:eastAsia="Times New Roman" w:hAnsi="Traditional Arabic" w:cs="Traditional Arabic"/>
          <w:b/>
          <w:bCs/>
          <w:color w:val="538135" w:themeColor="accent6" w:themeShade="BF"/>
          <w:sz w:val="32"/>
          <w:szCs w:val="32"/>
          <w:rtl/>
        </w:rPr>
        <w:t>﴿ٱلرَّح</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ٱلۡعَرۡشِ</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ٱسۡتَوَىٰ﴾</w:t>
      </w:r>
      <w:r w:rsidR="000C0E72">
        <w:rPr>
          <w:rStyle w:val="FootnoteReference"/>
          <w:rFonts w:ascii="Traditional Arabic" w:eastAsia="Times New Roman" w:hAnsi="Traditional Arabic" w:cs="Traditional Arabic"/>
          <w:b/>
          <w:bCs/>
          <w:color w:val="538135" w:themeColor="accent6" w:themeShade="BF"/>
          <w:sz w:val="32"/>
          <w:szCs w:val="32"/>
          <w:rtl/>
        </w:rPr>
        <w:footnoteReference w:id="67"/>
      </w:r>
      <w:r w:rsidRPr="001609BB">
        <w:rPr>
          <w:rFonts w:ascii="Adobe Arabic" w:eastAsia="Times New Roman" w:hAnsi="Adobe Arabic" w:cs="Adobe Arabic"/>
          <w:color w:val="000000"/>
          <w:sz w:val="32"/>
          <w:szCs w:val="32"/>
          <w:rtl/>
        </w:rPr>
        <w:t>، نجد للفظ "الاستواء" مفهومًا لغويًّا معيّنًا اختصّ به، وهو الاستقامة والاعتدال مثلًا، وليس هناك أيّ تشابه بينه وبين معنى آخر في علاقته باللفظ، فهو كلام قرآنيّ قابل للاتّباع، ولكنه متشابه؛ لِما يوجد فيه من التردّد في تحديد صورة هذا الاستواء من ناحية واقعيّة، وتجسيد مصداقه الخارجيّ بالشكل الذي يتناسب مع الرحمن الخالق الذي ليس كمثله شيء.</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أمّا المحكم من الآيات، فبقرينة المقابلة مع المتشابه في الآية، فهوما يكون مضافًا لدلالته على مفهوم معيّن، لا نجد صعوبة أو تردّدًا في تجسيد صورته أو تشخيصه في مصداق معيّن، ففي قوله تعالى: </w:t>
      </w:r>
      <w:r w:rsidRPr="008711A0">
        <w:rPr>
          <w:rFonts w:ascii="Traditional Arabic" w:eastAsia="Times New Roman" w:hAnsi="Traditional Arabic" w:cs="Traditional Arabic"/>
          <w:b/>
          <w:bCs/>
          <w:color w:val="538135" w:themeColor="accent6" w:themeShade="BF"/>
          <w:sz w:val="32"/>
          <w:szCs w:val="32"/>
          <w:rtl/>
        </w:rPr>
        <w:t>﴿لَي</w:t>
      </w:r>
      <w:r w:rsidRPr="008711A0">
        <w:rPr>
          <w:rFonts w:ascii="Traditional Arabic" w:eastAsia="Times New Roman" w:hAnsi="Traditional Arabic" w:cs="Traditional Arabic" w:hint="cs"/>
          <w:b/>
          <w:bCs/>
          <w:color w:val="538135" w:themeColor="accent6" w:themeShade="BF"/>
          <w:sz w:val="32"/>
          <w:szCs w:val="32"/>
          <w:rtl/>
        </w:rPr>
        <w:t>ۡسَ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كَمِثۡلِهِۦ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شَيۡءۖ﴾</w:t>
      </w:r>
      <w:r w:rsidR="000C0E72">
        <w:rPr>
          <w:rStyle w:val="FootnoteReference"/>
          <w:rFonts w:ascii="Traditional Arabic" w:eastAsia="Times New Roman" w:hAnsi="Traditional Arabic" w:cs="Traditional Arabic"/>
          <w:b/>
          <w:bCs/>
          <w:color w:val="538135" w:themeColor="accent6" w:themeShade="BF"/>
          <w:sz w:val="32"/>
          <w:szCs w:val="32"/>
          <w:rtl/>
        </w:rPr>
        <w:footnoteReference w:id="68"/>
      </w:r>
      <w:r w:rsidRPr="001609BB">
        <w:rPr>
          <w:rFonts w:ascii="Adobe Arabic" w:eastAsia="Times New Roman" w:hAnsi="Adobe Arabic" w:cs="Adobe Arabic"/>
          <w:color w:val="000000"/>
          <w:sz w:val="32"/>
          <w:szCs w:val="32"/>
          <w:rtl/>
        </w:rPr>
        <w:t>، نجد الصورة الواقعيّة لهذا المفهوم متعيّنة، فهو ليس كالإنسان، ولا السماء، ولا كالأرض، ولا كالجبال...</w:t>
      </w:r>
      <w:r w:rsidR="000C0E72">
        <w:rPr>
          <w:rStyle w:val="FootnoteReference"/>
          <w:rFonts w:ascii="Adobe Arabic" w:eastAsia="Times New Roman" w:hAnsi="Adobe Arabic" w:cs="Adobe Arabic"/>
          <w:color w:val="000000"/>
          <w:sz w:val="32"/>
          <w:szCs w:val="32"/>
          <w:rtl/>
        </w:rPr>
        <w:footnoteReference w:id="69"/>
      </w:r>
      <w:r w:rsidRPr="001609BB">
        <w:rPr>
          <w:rFonts w:ascii="Adobe Arabic" w:eastAsia="Times New Roman" w:hAnsi="Adobe Arabic" w:cs="Adobe Arabic"/>
          <w:color w:val="000000"/>
          <w:sz w:val="32"/>
          <w:szCs w:val="32"/>
          <w:rtl/>
        </w:rPr>
        <w:t>.</w:t>
      </w:r>
    </w:p>
    <w:p w:rsidR="00064AC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خلاصة في حجّيّة المحكم والمتشابه: وأيًّا كان المراد من المحكم والمتشابه، فلا ريب لدى جمهور الأمّة أنّه لا حجّيّة -بمعنى صلاحيّة الاستدلال على مؤدّى معيّن- للمتشابه من الآيات في الأصول والفروع، دون إرجاعه إلى المحكم، ليتعيّن المعنى، أو تنجلي -بأيّ حدّ- حقيقة المصداق، بل يمكن القول: إنّ العمل بالمتشابه دون قيد الرجوع إلى المحكم، مظنّة للوقوع في الفتن، خصوصًا إذا كان الحامل من أصحاب الأهواء والغايات الضالّة، كما هو صريح الآية.</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14" w:name="_Toc155869510"/>
      <w:r w:rsidRPr="0064226D">
        <w:rPr>
          <w:rFonts w:ascii="Adobe Arabic" w:eastAsia="Times New Roman" w:hAnsi="Adobe Arabic" w:cs="Adobe Arabic"/>
          <w:b/>
          <w:bCs/>
          <w:color w:val="538135" w:themeColor="accent6" w:themeShade="BF"/>
          <w:sz w:val="40"/>
          <w:szCs w:val="40"/>
          <w:rtl/>
        </w:rPr>
        <w:lastRenderedPageBreak/>
        <w:t>الدرس الثالث</w:t>
      </w:r>
      <w:r w:rsidR="0064226D">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حجّيّة القرآن الكريم 2</w:t>
      </w:r>
      <w:r w:rsidR="0064226D">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(حجّيّة ظواهر الكتاب)</w:t>
      </w:r>
      <w:bookmarkEnd w:id="14"/>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يعرف المراد من الظهور لغةً واصطلاحًا.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إلى أدلة مانعي حجّيّة ظهور القرآن الكريم، ومناقشتها.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يتعرّف إلى أدلة حجّيّة ظواهر القرآن الكريم.</w:t>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15" w:name="_Toc155869511"/>
      <w:r w:rsidRPr="00301758">
        <w:rPr>
          <w:rFonts w:ascii="Adobe Arabic" w:eastAsia="Times New Roman" w:hAnsi="Adobe Arabic" w:cs="Adobe Arabic"/>
          <w:b/>
          <w:bCs/>
          <w:color w:val="996633"/>
          <w:sz w:val="36"/>
          <w:szCs w:val="36"/>
          <w:rtl/>
        </w:rPr>
        <w:lastRenderedPageBreak/>
        <w:t>تمهيد</w:t>
      </w:r>
      <w:bookmarkEnd w:id="15"/>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جرت عادة أهل كلّ لسان على التحاكم إلى ظهورات كلامهم، والاعتماد عليها في مقام الفهم والتفهيم، وتوابعه من الاحتجاج وغيرها. والأمر كذلك في الأمم كلّها إلى عصرنا الحاضر. ومن تلك العصور، عصر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حيث لم يُعهَد منه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ولا من أوصيائه</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طريقة أخرى في هذه المجالات المذكورة، ولا غيرها. فما هو الظهور؟</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16" w:name="_Toc155869512"/>
      <w:r w:rsidRPr="00301758">
        <w:rPr>
          <w:rFonts w:ascii="Adobe Arabic" w:eastAsia="Times New Roman" w:hAnsi="Adobe Arabic" w:cs="Adobe Arabic"/>
          <w:b/>
          <w:bCs/>
          <w:color w:val="996633"/>
          <w:sz w:val="36"/>
          <w:szCs w:val="36"/>
          <w:rtl/>
        </w:rPr>
        <w:t>الظهور لغةً واصطلاحًا</w:t>
      </w:r>
      <w:bookmarkEnd w:id="16"/>
    </w:p>
    <w:p w:rsidR="00BD4C4D" w:rsidRPr="001609BB" w:rsidRDefault="00BD4C4D" w:rsidP="000C0E7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الظهور في اللغة هو البروز والبيان، ووصف الشيء بالظاهر يعني وصفه بالبارز والبيّن. وهذا المعنى لا يبتعد كثيرًا عمّا هو متداول في استعمالات الأصوليّين، فهم يقصدون من الظهور: تعيُّن أحد المعاني المحتملة للكلام تصوُّرًا وتصديقًا</w:t>
      </w:r>
      <w:r w:rsidR="000C0E72">
        <w:rPr>
          <w:rStyle w:val="FootnoteReference"/>
          <w:rFonts w:ascii="Adobe Arabic" w:eastAsia="Times New Roman" w:hAnsi="Adobe Arabic" w:cs="Adobe Arabic"/>
          <w:color w:val="000000"/>
          <w:sz w:val="32"/>
          <w:szCs w:val="32"/>
          <w:rtl/>
        </w:rPr>
        <w:footnoteReference w:id="70"/>
      </w:r>
      <w:r w:rsidRPr="001609BB">
        <w:rPr>
          <w:rFonts w:ascii="Adobe Arabic" w:eastAsia="Times New Roman" w:hAnsi="Adobe Arabic" w:cs="Adobe Arabic"/>
          <w:color w:val="000000"/>
          <w:sz w:val="32"/>
          <w:szCs w:val="32"/>
          <w:rtl/>
        </w:rPr>
        <w:t>، أو تصوُّرًا دون التصديق، وذلك في مقابل النصّ والمجمل؛ إذ لا ينقدح في الذهن من النصّ سوى معنى واحد، فلا يكون معه أيّ احتمال بالخلاف، وأمّا المجمل فهو يحتمل أكثر من معنى، دون أن يتعيّن معه واحد من المعاني المحتملة</w:t>
      </w:r>
      <w:r w:rsidR="000C0E72">
        <w:rPr>
          <w:rStyle w:val="FootnoteReference"/>
          <w:rFonts w:ascii="Adobe Arabic" w:eastAsia="Times New Roman" w:hAnsi="Adobe Arabic" w:cs="Adobe Arabic"/>
          <w:color w:val="000000"/>
          <w:sz w:val="32"/>
          <w:szCs w:val="32"/>
          <w:rtl/>
        </w:rPr>
        <w:footnoteReference w:id="71"/>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5A5A6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هذا وقد ذهب بعض العلماء إلى عدم حجّيّة ظهور القرآن الكريم. ولعلّ أصل التفصيل بين حجّيّة ظهور الكتاب العزيز وباقي الظهورات الشرعيّة، يرجع إلى ما نُسِب إلى طائفة من العلماء الإخباريّين</w:t>
      </w:r>
      <w:r w:rsidR="005A5A69">
        <w:rPr>
          <w:rStyle w:val="FootnoteReference"/>
          <w:rFonts w:ascii="Adobe Arabic" w:eastAsia="Times New Roman" w:hAnsi="Adobe Arabic" w:cs="Adobe Arabic"/>
          <w:color w:val="000000"/>
          <w:sz w:val="32"/>
          <w:szCs w:val="32"/>
          <w:rtl/>
        </w:rPr>
        <w:footnoteReference w:id="72"/>
      </w:r>
      <w:r w:rsidRPr="001609BB">
        <w:rPr>
          <w:rFonts w:ascii="Adobe Arabic" w:eastAsia="Times New Roman" w:hAnsi="Adobe Arabic" w:cs="Adobe Arabic"/>
          <w:color w:val="000000"/>
          <w:sz w:val="32"/>
          <w:szCs w:val="32"/>
          <w:rtl/>
        </w:rPr>
        <w:t> من المنع أو التوقّف في العمل بظهورات القرآن الكريم، إن لم يرد بها نصٌّ عن المعصوم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w:t>
      </w:r>
    </w:p>
    <w:p w:rsidR="00BD4C4D" w:rsidRPr="00301758" w:rsidRDefault="00BD4C4D" w:rsidP="00301758">
      <w:pPr>
        <w:pStyle w:val="Heading2"/>
        <w:bidi/>
        <w:jc w:val="both"/>
        <w:rPr>
          <w:rFonts w:ascii="Adobe Arabic" w:eastAsia="Times New Roman" w:hAnsi="Adobe Arabic" w:cs="Adobe Arabic"/>
          <w:b/>
          <w:bCs/>
          <w:color w:val="996633"/>
          <w:sz w:val="36"/>
          <w:szCs w:val="36"/>
          <w:rtl/>
        </w:rPr>
      </w:pPr>
      <w:bookmarkStart w:id="17" w:name="_Toc155869513"/>
      <w:r w:rsidRPr="00301758">
        <w:rPr>
          <w:rFonts w:ascii="Adobe Arabic" w:eastAsia="Times New Roman" w:hAnsi="Adobe Arabic" w:cs="Adobe Arabic"/>
          <w:b/>
          <w:bCs/>
          <w:color w:val="996633"/>
          <w:sz w:val="36"/>
          <w:szCs w:val="36"/>
          <w:rtl/>
        </w:rPr>
        <w:t>أدلّة المانعين ومناقشتها</w:t>
      </w:r>
      <w:bookmarkEnd w:id="17"/>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أهمّ الأدلّة التي سِيقَت لإثبات المدّعى هي:</w:t>
      </w:r>
    </w:p>
    <w:p w:rsidR="00BD4C4D" w:rsidRPr="008103F8" w:rsidRDefault="00BD4C4D" w:rsidP="005A5A6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اختصاص فهم القرآن الكريم بمن خُوطِب به</w:t>
      </w:r>
      <w:r w:rsidR="005A5A69">
        <w:rPr>
          <w:rStyle w:val="FootnoteReference"/>
          <w:rFonts w:ascii="Adobe Arabic" w:eastAsia="Times New Roman" w:hAnsi="Adobe Arabic" w:cs="Adobe Arabic"/>
          <w:b/>
          <w:bCs/>
          <w:color w:val="000000"/>
          <w:sz w:val="32"/>
          <w:szCs w:val="32"/>
          <w:rtl/>
        </w:rPr>
        <w:footnoteReference w:id="73"/>
      </w:r>
      <w:r w:rsidRPr="008103F8">
        <w:rPr>
          <w:rFonts w:ascii="Adobe Arabic" w:eastAsia="Times New Roman" w:hAnsi="Adobe Arabic" w:cs="Adobe Arabic"/>
          <w:b/>
          <w:bCs/>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استندوا في هذه الدعوى إلى عدّة روايات</w:t>
      </w:r>
      <w:r w:rsidR="005A5A69">
        <w:rPr>
          <w:rStyle w:val="FootnoteReference"/>
          <w:rFonts w:ascii="Adobe Arabic" w:eastAsia="Times New Roman" w:hAnsi="Adobe Arabic" w:cs="Adobe Arabic"/>
          <w:color w:val="000000"/>
          <w:sz w:val="32"/>
          <w:szCs w:val="32"/>
          <w:rtl/>
        </w:rPr>
        <w:footnoteReference w:id="74"/>
      </w:r>
      <w:r w:rsidRPr="001609BB">
        <w:rPr>
          <w:rFonts w:ascii="Adobe Arabic" w:eastAsia="Times New Roman" w:hAnsi="Adobe Arabic" w:cs="Adobe Arabic"/>
          <w:color w:val="000000"/>
          <w:sz w:val="32"/>
          <w:szCs w:val="32"/>
          <w:rtl/>
        </w:rPr>
        <w:t> واردة في هذا الموضوع، كمرسلة أبي زهير بن شبيب بن أنس،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أنّه قال لأبي حنيفة: "أنت فقيه أهل العراق؟ قال: نعم. 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فبأيّ شيء تفتيهم؟ قال: بكتاب الله وسنّة نبيّه. 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يا أبا حنيفة، تعرف كتاب الله حقّ معرفته، وتعرف الناسخ من المنسوخ؟ قال: نعم. 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يا أبا حنيفة، لقد ادّعُيْتَ عِلمًا؛ ويلك! ما جعل الله ذلك إلّا عند أهل الكتاب الذين أنزل عليهم. ويلك! ما هو إلّا عند الخاصّ من ذرّيّة نبيّنا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وما ورَّثك الله تعالى من كتابه حرفًا"</w:t>
      </w:r>
      <w:r w:rsidR="00CF7297">
        <w:rPr>
          <w:rStyle w:val="FootnoteReference"/>
          <w:rFonts w:ascii="Adobe Arabic" w:eastAsia="Times New Roman" w:hAnsi="Adobe Arabic" w:cs="Adobe Arabic"/>
          <w:color w:val="000000"/>
          <w:sz w:val="32"/>
          <w:szCs w:val="32"/>
          <w:rtl/>
        </w:rPr>
        <w:footnoteReference w:id="75"/>
      </w:r>
      <w:r w:rsidRPr="001609BB">
        <w:rPr>
          <w:rFonts w:ascii="Adobe Arabic" w:eastAsia="Times New Roman" w:hAnsi="Adobe Arabic" w:cs="Adobe Arabic"/>
          <w:color w:val="000000"/>
          <w:sz w:val="32"/>
          <w:szCs w:val="32"/>
          <w:rtl/>
        </w:rPr>
        <w:t>.</w:t>
      </w:r>
    </w:p>
    <w:p w:rsidR="00064AC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وفي رواية زيد الشحّام، قال: "دخل قتادة على أبي جعفر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فقال له: أنت فقيه أهل البصرة؟ فقال: هكذا يزعمون. فقال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بَلَغَني أنّك تفسِّر القرآن. فقال له قتادة: نعم... إلى أن 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xml:space="preserve">: ويحك يا قتادة! إن كنتَ إنّما فسّرتَ القرآن من </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تلقاء نفسِك، فقد هلكتَ وأهلكتَ، وإن كنتَ قد أخذتَه من الرجال، فقد هلكتَ وأهلكتَ... ويحك يا قتادة! إنّما يَعرف القرآنَ مَن خُوطِب به"</w:t>
      </w:r>
      <w:r w:rsidR="00CF7297">
        <w:rPr>
          <w:rStyle w:val="FootnoteReference"/>
          <w:rFonts w:ascii="Adobe Arabic" w:eastAsia="Times New Roman" w:hAnsi="Adobe Arabic" w:cs="Adobe Arabic"/>
          <w:color w:val="000000"/>
          <w:sz w:val="32"/>
          <w:szCs w:val="32"/>
          <w:rtl/>
        </w:rPr>
        <w:footnoteReference w:id="76"/>
      </w:r>
      <w:hyperlink r:id="rId9" w:anchor="footnote-298" w:history="1"/>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والجواب:</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أوّلًا: نقول -بعد الإغماض عن إرسال</w:t>
      </w:r>
      <w:r w:rsidR="00CF7297">
        <w:rPr>
          <w:rStyle w:val="FootnoteReference"/>
          <w:rFonts w:ascii="Adobe Arabic" w:eastAsia="Times New Roman" w:hAnsi="Adobe Arabic" w:cs="Adobe Arabic"/>
          <w:color w:val="000000"/>
          <w:sz w:val="32"/>
          <w:szCs w:val="32"/>
          <w:rtl/>
        </w:rPr>
        <w:footnoteReference w:id="77"/>
      </w:r>
      <w:r w:rsidRPr="001609BB">
        <w:rPr>
          <w:rFonts w:ascii="Adobe Arabic" w:eastAsia="Times New Roman" w:hAnsi="Adobe Arabic" w:cs="Adobe Arabic"/>
          <w:color w:val="000000"/>
          <w:sz w:val="32"/>
          <w:szCs w:val="32"/>
          <w:rtl/>
        </w:rPr>
        <w:t> قسم من تلك الروايات، وضعف بعض</w:t>
      </w:r>
      <w:r w:rsidR="00CF7297">
        <w:rPr>
          <w:rStyle w:val="FootnoteReference"/>
          <w:rFonts w:ascii="Adobe Arabic" w:eastAsia="Times New Roman" w:hAnsi="Adobe Arabic" w:cs="Adobe Arabic"/>
          <w:color w:val="000000"/>
          <w:sz w:val="32"/>
          <w:szCs w:val="32"/>
          <w:rtl/>
        </w:rPr>
        <w:footnoteReference w:id="78"/>
      </w:r>
      <w:r w:rsidRPr="001609BB">
        <w:rPr>
          <w:rFonts w:ascii="Adobe Arabic" w:eastAsia="Times New Roman" w:hAnsi="Adobe Arabic" w:cs="Adobe Arabic"/>
          <w:color w:val="000000"/>
          <w:sz w:val="32"/>
          <w:szCs w:val="32"/>
          <w:rtl/>
        </w:rPr>
        <w:t> آخر، والأخذ بالقدر المشترك بينها-: إنّ المراد من هذه الروايات وأمثالها أنّ فهم القرآن حقّ فهمه، ومعرفة ظاهره وباطنه، وناسخه ومنسوخه، مختَصٌّ بمن خُوطِب به. والرواية الأولى صريحة في ذلك، فقد كان السؤال فيها عن معرفة كتاب الله حقّ معرفته، وتمييز الناسخ من المنسوخ، وكان توبيخ الإمام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لأبي حنيفة على دعوى معرفة ذلك. ويدلّ على ذلك أيضًا، قوله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في المرسلة: "وما ورَّثَك اللهُ من كتابه حرفًا" فإنّ معنى ذلك أنّ الله قد خصّ أوصياء نبيّه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بإرث الكتاب، كما في قوله تعالى: </w:t>
      </w:r>
      <w:r w:rsidRPr="008711A0">
        <w:rPr>
          <w:rFonts w:ascii="Traditional Arabic" w:eastAsia="Times New Roman" w:hAnsi="Traditional Arabic" w:cs="Traditional Arabic"/>
          <w:b/>
          <w:bCs/>
          <w:color w:val="538135" w:themeColor="accent6" w:themeShade="BF"/>
          <w:sz w:val="32"/>
          <w:szCs w:val="32"/>
          <w:rtl/>
        </w:rPr>
        <w:t>﴿ثُمَّ أَو</w:t>
      </w:r>
      <w:r w:rsidRPr="008711A0">
        <w:rPr>
          <w:rFonts w:ascii="Traditional Arabic" w:eastAsia="Times New Roman" w:hAnsi="Traditional Arabic" w:cs="Traditional Arabic" w:hint="cs"/>
          <w:b/>
          <w:bCs/>
          <w:color w:val="538135" w:themeColor="accent6" w:themeShade="BF"/>
          <w:sz w:val="32"/>
          <w:szCs w:val="32"/>
          <w:rtl/>
        </w:rPr>
        <w:t>ۡرَثۡنَا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ٱصۡطَفَيۡنَا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عِبَادِنَاۖ﴾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79"/>
      </w:r>
      <w:r w:rsidRPr="001609BB">
        <w:rPr>
          <w:rFonts w:ascii="Adobe Arabic" w:eastAsia="Times New Roman" w:hAnsi="Adobe Arabic" w:cs="Adobe Arabic"/>
          <w:color w:val="000000"/>
          <w:sz w:val="32"/>
          <w:szCs w:val="32"/>
          <w:rtl/>
        </w:rPr>
        <w:t>، وهذا أمرٌ مغاير لفهم ظاهر الكتاب، الذي يشترك فيه كثيرٌ من أفراد الأمّة؛ وإلّا فكيف يُعقَل أنّ أبا حنيفة لا يعرف شيئًا من كتاب الله، حتّى مثل قوله تعالى:</w:t>
      </w:r>
      <w:r w:rsidRPr="008711A0">
        <w:rPr>
          <w:rFonts w:ascii="Traditional Arabic" w:eastAsia="Times New Roman" w:hAnsi="Traditional Arabic" w:cs="Traditional Arabic"/>
          <w:b/>
          <w:bCs/>
          <w:color w:val="538135" w:themeColor="accent6" w:themeShade="BF"/>
          <w:sz w:val="32"/>
          <w:szCs w:val="32"/>
          <w:rtl/>
        </w:rPr>
        <w:t> ﴿قُل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أَحَدٌ﴾</w:t>
      </w:r>
      <w:r w:rsidR="00CF7297">
        <w:rPr>
          <w:rStyle w:val="FootnoteReference"/>
          <w:rFonts w:ascii="Traditional Arabic" w:eastAsia="Times New Roman" w:hAnsi="Traditional Arabic" w:cs="Traditional Arabic"/>
          <w:b/>
          <w:bCs/>
          <w:color w:val="538135" w:themeColor="accent6" w:themeShade="BF"/>
          <w:sz w:val="32"/>
          <w:szCs w:val="32"/>
          <w:rtl/>
        </w:rPr>
        <w:footnoteReference w:id="80"/>
      </w:r>
      <w:r w:rsidRPr="001609BB">
        <w:rPr>
          <w:rFonts w:ascii="Adobe Arabic" w:eastAsia="Times New Roman" w:hAnsi="Adobe Arabic" w:cs="Adobe Arabic"/>
          <w:color w:val="000000"/>
          <w:sz w:val="32"/>
          <w:szCs w:val="32"/>
          <w:rtl/>
        </w:rPr>
        <w:t>؟!</w:t>
      </w:r>
      <w:r w:rsidR="00CF7297">
        <w:rPr>
          <w:rStyle w:val="FootnoteReference"/>
          <w:rFonts w:ascii="Adobe Arabic" w:eastAsia="Times New Roman" w:hAnsi="Adobe Arabic" w:cs="Adobe Arabic"/>
          <w:color w:val="000000"/>
          <w:sz w:val="32"/>
          <w:szCs w:val="32"/>
          <w:rtl/>
        </w:rPr>
        <w:footnoteReference w:id="81"/>
      </w:r>
      <w:r w:rsidRPr="001609BB">
        <w:rPr>
          <w:rFonts w:ascii="Adobe Arabic" w:eastAsia="Times New Roman" w:hAnsi="Adobe Arabic" w:cs="Adobe Arabic"/>
          <w:color w:val="000000"/>
          <w:sz w:val="32"/>
          <w:szCs w:val="32"/>
          <w:rtl/>
        </w:rPr>
        <w:t>.</w:t>
      </w:r>
    </w:p>
    <w:p w:rsidR="00064AC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ثانيًا: إنّ التعليل في الرواية الأولى بعدم معرفة الناسخ من المنسوخ، لو حُمِل على مدّعى الإخباريّ من كونه مانعًا عن العمل بظهورات الكتاب، لدلّ على عدم جواز العمل بأحاديث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ففي رواية سليم بن قيس الهلاليّ، عن أمير المؤمنين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"إنّ أَمْر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مثلُ القرآن، منه ناسخٌ ومنسوخٌ، وخاصٌّ وعامٌّ، ومُحكمٌ ومتشابهٌ؛ وقد كان يكون من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xml:space="preserve"> الكلام له وجهان، وكلامٌ عامٌّ </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وكلامٌ خاصٌّ، مثل القرآن"</w:t>
      </w:r>
      <w:r w:rsidR="00CF7297">
        <w:rPr>
          <w:rStyle w:val="FootnoteReference"/>
          <w:rFonts w:ascii="Adobe Arabic" w:eastAsia="Times New Roman" w:hAnsi="Adobe Arabic" w:cs="Adobe Arabic"/>
          <w:color w:val="000000"/>
          <w:sz w:val="32"/>
          <w:szCs w:val="32"/>
          <w:rtl/>
        </w:rPr>
        <w:footnoteReference w:id="82"/>
      </w:r>
      <w:r w:rsidRPr="001609BB">
        <w:rPr>
          <w:rFonts w:ascii="Adobe Arabic" w:eastAsia="Times New Roman" w:hAnsi="Adobe Arabic" w:cs="Adobe Arabic"/>
          <w:color w:val="000000"/>
          <w:sz w:val="32"/>
          <w:szCs w:val="32"/>
          <w:rtl/>
        </w:rPr>
        <w:t>. وسيأتي نزر من الروايات حول متشابهات الحديث.</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ثالثًا: إنّ جواز العمل بظواهر القرآن وعدمه من أهمّ المسائل، ومن المسائل الرئيسيّة في الفقه ومعرفة الأحكام، ومن أبرز المواضيع التي دار حولها النزاع والبحث والجدل بين علماء غير الشيعة، فجميع الدواعي التأريخيّة والشرعيّة والواقعيّة كانت تقتضي أن تكون هذه المسألة أهمّ مسألة في مقام السؤال والجواب، وفي مقام الاستفادة والتحقيق. أضف إلى ذلك أنّ العمل بظواهر القرآن يوافق مقتضى الطبع العقلائيّ، وإيقاف هذا الطبع بحاجة إلى بيانات كثيرة وإعلامات متتالية؛ فلو كان أمرٌ من هذا القبيل، لَكثُرَ نقلُه وشاع وذاع، ولَما اقتصر في بيان هذا الأمر المهمّ -الذي هو على خلاف الطبع- على مرّات عديدة</w:t>
      </w:r>
      <w:r w:rsidR="00CF7297">
        <w:rPr>
          <w:rStyle w:val="FootnoteReference"/>
          <w:rFonts w:ascii="Adobe Arabic" w:eastAsia="Times New Roman" w:hAnsi="Adobe Arabic" w:cs="Adobe Arabic"/>
          <w:color w:val="000000"/>
          <w:sz w:val="32"/>
          <w:szCs w:val="32"/>
          <w:rtl/>
        </w:rPr>
        <w:footnoteReference w:id="83"/>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النهي عن التفسير بالرأي: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قالوا إنّ الأخذ بظاهر اللفظ من التفسير بالرأي، وهو منهيٌّ عنه في روايات قد تبلغ حدّ التواتر، منها:</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"ومَن فَسَّر القرآنَ برأيه فقد افترى على الله الكذب"</w:t>
      </w:r>
      <w:r w:rsidR="00CF7297">
        <w:rPr>
          <w:rStyle w:val="FootnoteReference"/>
          <w:rFonts w:ascii="Adobe Arabic" w:eastAsia="Times New Roman" w:hAnsi="Adobe Arabic" w:cs="Adobe Arabic"/>
          <w:color w:val="000000"/>
          <w:sz w:val="32"/>
          <w:szCs w:val="32"/>
          <w:rtl/>
        </w:rPr>
        <w:footnoteReference w:id="84"/>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وعن أبي بصير،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"مَن فسَّر القرآن برأيه، إن أصاب لم يُؤجَر، وإن أخطأ خرّ أبعد من السماء"</w:t>
      </w:r>
      <w:r w:rsidR="00CF7297">
        <w:rPr>
          <w:rStyle w:val="FootnoteReference"/>
          <w:rFonts w:ascii="Adobe Arabic" w:eastAsia="Times New Roman" w:hAnsi="Adobe Arabic" w:cs="Adobe Arabic"/>
          <w:color w:val="000000"/>
          <w:sz w:val="32"/>
          <w:szCs w:val="32"/>
          <w:rtl/>
        </w:rPr>
        <w:footnoteReference w:id="85"/>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وعن عمّار بن موسى،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سُئِلَ عن الحكومة فقال: "من حَكَمَ برأيه بين اثنَين فقد كفر، ومَن فسَّرَ برأيه آيةً من كتاب الله فقد كفر"</w:t>
      </w:r>
      <w:r w:rsidR="00CF7297">
        <w:rPr>
          <w:rStyle w:val="FootnoteReference"/>
          <w:rFonts w:ascii="Adobe Arabic" w:eastAsia="Times New Roman" w:hAnsi="Adobe Arabic" w:cs="Adobe Arabic"/>
          <w:color w:val="000000"/>
          <w:sz w:val="32"/>
          <w:szCs w:val="32"/>
          <w:rtl/>
        </w:rPr>
        <w:footnoteReference w:id="86"/>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lastRenderedPageBreak/>
        <w:t>والجواب:</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أوّلاً: إنّ كلمة "الرأي"، وإن كان معناها اللغويّ الأصليّ هو النظر مثلًا، أو ما يقرب من ذلك في المعنى، إلّا أنّ الذي يطالع مجموع الروايات الواردة في باب "الرأي"، ويطالع عصر هذه الروايات، يعرف أنّ هذه الروايات كانت ملقاة مِن قِبَل الأئمّة</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على أُناس كانوا يعيشون ويفكّرون في جوٍّ علميّ خاصّ، له مصطلحاته الخاصّة، وتعبيراته الخاصّة، وله مسائله المطروحة للبحث إثباتاً ونفياً. ومن أهمّ تلك المسائل التي راج بحثها وذكرها، واختلف الناس بسببها، هي مسألة "الرأي". وهي تعني أنّ الفقيه إذا أراد أن يستنبط حكمًا شرعيًّا، ولم يجد نصًّا يدلّ عليه في الكتاب أو السنّة، رجع إلى الاجتهاد بدلًا عن النصّ. ويُراد بالاجتهاد هنا: التفكير الشخصيّ؛ فالفقيه حيث لا يجد النصّ، يرجع إلى تفكيره الخاصّ، ويستلهمه ويبني على ما يرجّح في فكره الشخصيّ من تشريع. وقد نادت بهذا المعنى للاجتهاد مدارس كبيرة في الفقه السنّيّ، وعلى رأسها مدرسة أبي حنيفة، فيما لقي هذا المعنى، في الوقت نفسه، معارضة شديدة من أئمّة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ولا سيّما الصادقَين </w:t>
      </w:r>
      <w:r w:rsidRPr="001609BB">
        <w:rPr>
          <w:rFonts w:ascii="Adobe Arabic" w:eastAsia="Times New Roman" w:hAnsi="Adobe Arabic" w:cs="Adobe Arabic"/>
          <w:color w:val="000000"/>
          <w:sz w:val="32"/>
          <w:szCs w:val="32"/>
        </w:rPr>
        <w:t>d</w:t>
      </w:r>
      <w:r w:rsidRPr="001609BB">
        <w:rPr>
          <w:rFonts w:ascii="Adobe Arabic" w:eastAsia="Times New Roman" w:hAnsi="Adobe Arabic" w:cs="Adobe Arabic"/>
          <w:color w:val="000000"/>
          <w:sz w:val="32"/>
          <w:szCs w:val="32"/>
          <w:rtl/>
        </w:rPr>
        <w:t>، والفقهاء الذين ينتسبون إلى مدرستهم. وعلى هذا الأساس، فإنّ كلمة "الرأي" هنا قد يُدَّعى ظهورها في هذا المصطلح</w:t>
      </w:r>
      <w:r w:rsidR="00CF7297">
        <w:rPr>
          <w:rStyle w:val="FootnoteReference"/>
          <w:rFonts w:ascii="Adobe Arabic" w:eastAsia="Times New Roman" w:hAnsi="Adobe Arabic" w:cs="Adobe Arabic"/>
          <w:color w:val="000000"/>
          <w:sz w:val="32"/>
          <w:szCs w:val="32"/>
          <w:rtl/>
        </w:rPr>
        <w:footnoteReference w:id="87"/>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ثانيًا: لو سُلّم شمول إطلاق كلمة "الرأي" وما في مقامها في هذه الروايات، لحمل اللفظ على المعنى الظاهر، فهذا الإطلاق لا يصلح للردع عن حجّيّة ظهور الكتاب؛ إذ حجّيّة ظهور القرآن الكريم مطلبٌ عقلائيّ على طِبق القريحة العقلائيّة المركوزة المستحكمة في أذهان الناس بارتكازهم الجبلّيّ، والمناسبات التي فُطِروا عليها في تعايشهم. والردع عنها لا بدّ أن يكون مناسِبًا لمقدار استحكامها، حتّى يحصل التحفّظ على غرض الشارع، الذي يخاف من تأثيرها على تعاليمه وأحكامه.</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وعلى هذا، فلا يُعقَل الاكتفاء في الردع عن مثل السيرة العقلائيّة في باب حجّيّة الظهور، المستحكمة الجذور في أذهانهم، بإطلاق مثل هذه الروايات؛ لأنّ الردع يجب أن يتناسب -حجمًا ووضوحًا- مع درجة استحكام السيرة</w:t>
      </w:r>
      <w:r w:rsidR="00CF7297">
        <w:rPr>
          <w:rStyle w:val="FootnoteReference"/>
          <w:rFonts w:ascii="Adobe Arabic" w:eastAsia="Times New Roman" w:hAnsi="Adobe Arabic" w:cs="Adobe Arabic"/>
          <w:color w:val="000000"/>
          <w:sz w:val="32"/>
          <w:szCs w:val="32"/>
          <w:rtl/>
        </w:rPr>
        <w:footnoteReference w:id="88"/>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ثالثًا: لو سُلِّم أيضًا شمول إطلاق كلمة "الرأي" وما في مقامها في هذه الروايات، لحمل اللفظ على المعنى الظاهر، فإنّ سيرة المتشرّعة في عصر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على العمل بظواهر القرآن الكريم –وهي سيرة مسلَّمة- كافيةٌ في تقييد مثل هذا الإطلاق</w:t>
      </w:r>
      <w:r w:rsidR="00CF7297">
        <w:rPr>
          <w:rStyle w:val="FootnoteReference"/>
          <w:rFonts w:ascii="Adobe Arabic" w:eastAsia="Times New Roman" w:hAnsi="Adobe Arabic" w:cs="Adobe Arabic"/>
          <w:color w:val="000000"/>
          <w:sz w:val="32"/>
          <w:szCs w:val="32"/>
          <w:rtl/>
        </w:rPr>
        <w:footnoteReference w:id="89"/>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18" w:name="_Toc155869514"/>
      <w:r w:rsidRPr="00465CD4">
        <w:rPr>
          <w:rFonts w:ascii="Adobe Arabic" w:eastAsia="Times New Roman" w:hAnsi="Adobe Arabic" w:cs="Adobe Arabic"/>
          <w:b/>
          <w:bCs/>
          <w:color w:val="996633"/>
          <w:sz w:val="36"/>
          <w:szCs w:val="36"/>
          <w:rtl/>
        </w:rPr>
        <w:t>أدلّة حجّيّة ظواهر الكتاب</w:t>
      </w:r>
      <w:bookmarkEnd w:id="18"/>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استُدِلّ</w:t>
      </w:r>
      <w:r w:rsidR="00CF7297">
        <w:rPr>
          <w:rStyle w:val="FootnoteReference"/>
          <w:rFonts w:ascii="Adobe Arabic" w:eastAsia="Times New Roman" w:hAnsi="Adobe Arabic" w:cs="Adobe Arabic"/>
          <w:color w:val="000000"/>
          <w:sz w:val="32"/>
          <w:szCs w:val="32"/>
          <w:rtl/>
        </w:rPr>
        <w:footnoteReference w:id="90"/>
      </w:r>
      <w:r w:rsidRPr="001609BB">
        <w:rPr>
          <w:rFonts w:ascii="Adobe Arabic" w:eastAsia="Times New Roman" w:hAnsi="Adobe Arabic" w:cs="Adobe Arabic"/>
          <w:color w:val="000000"/>
          <w:sz w:val="32"/>
          <w:szCs w:val="32"/>
          <w:rtl/>
        </w:rPr>
        <w:t> لحجّيّة ظواهر القرآن الكريم بأدلّة كثيرة تثبت المطلوب بمجموعها، منها:</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الأخبار الآمرة بالتمسّك بالكتاب: مثل حديث الثقلَين المتواتر</w:t>
      </w:r>
      <w:r w:rsidR="00CF7297">
        <w:rPr>
          <w:rStyle w:val="FootnoteReference"/>
          <w:rFonts w:ascii="Adobe Arabic" w:eastAsia="Times New Roman" w:hAnsi="Adobe Arabic" w:cs="Adobe Arabic"/>
          <w:color w:val="000000"/>
          <w:sz w:val="32"/>
          <w:szCs w:val="32"/>
          <w:rtl/>
        </w:rPr>
        <w:footnoteReference w:id="91"/>
      </w:r>
      <w:r w:rsidRPr="001609BB">
        <w:rPr>
          <w:rFonts w:ascii="Adobe Arabic" w:eastAsia="Times New Roman" w:hAnsi="Adobe Arabic" w:cs="Adobe Arabic"/>
          <w:color w:val="000000"/>
          <w:sz w:val="32"/>
          <w:szCs w:val="32"/>
          <w:rtl/>
        </w:rPr>
        <w:t>؛ فإنّ مفاد هذه الأحاديث وجوب التمسّك بكلّ دلالة قرآنيّة، نصًّا كانت أو ظهورًا.</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الأخبار الآمرة بعرض شروط العقود على كتاب الله، وردّ ما خالفه منها</w:t>
      </w:r>
      <w:r w:rsidR="00CF7297">
        <w:rPr>
          <w:rStyle w:val="FootnoteReference"/>
          <w:rFonts w:ascii="Adobe Arabic" w:eastAsia="Times New Roman" w:hAnsi="Adobe Arabic" w:cs="Adobe Arabic"/>
          <w:color w:val="000000"/>
          <w:sz w:val="32"/>
          <w:szCs w:val="32"/>
          <w:rtl/>
        </w:rPr>
        <w:footnoteReference w:id="92"/>
      </w:r>
      <w:r w:rsidRPr="001609BB">
        <w:rPr>
          <w:rFonts w:ascii="Adobe Arabic" w:eastAsia="Times New Roman" w:hAnsi="Adobe Arabic" w:cs="Adobe Arabic"/>
          <w:color w:val="000000"/>
          <w:sz w:val="32"/>
          <w:szCs w:val="32"/>
          <w:rtl/>
        </w:rPr>
        <w:t>: فإنّها تدلّ -عرفًا- على جعل مداليل ألفاظ الكتاب حجّةً ومقياسًا لصحّة الشرط وفساده</w:t>
      </w:r>
      <w:r w:rsidR="00CF7297">
        <w:rPr>
          <w:rStyle w:val="FootnoteReference"/>
          <w:rFonts w:ascii="Adobe Arabic" w:eastAsia="Times New Roman" w:hAnsi="Adobe Arabic" w:cs="Adobe Arabic"/>
          <w:color w:val="000000"/>
          <w:sz w:val="32"/>
          <w:szCs w:val="32"/>
          <w:rtl/>
        </w:rPr>
        <w:footnoteReference w:id="93"/>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الأخبار الآمرة بعرض الروايات على القرآن الكريم، سواء الأخبار التي جعلت العرض على الكتاب كشرط مطلق في قبول الروايات أو ردّها -وقد صرّح جَمعٌ من الأعلام بتواترها- أو تلك الأخبار التي جعلت موافقة الكتاب أو مخالفته معيارًا للترجيح بين الروايات المتعارضة</w:t>
      </w:r>
      <w:r w:rsidR="00CF7297">
        <w:rPr>
          <w:rStyle w:val="FootnoteReference"/>
          <w:rFonts w:ascii="Adobe Arabic" w:eastAsia="Times New Roman" w:hAnsi="Adobe Arabic" w:cs="Adobe Arabic"/>
          <w:color w:val="000000"/>
          <w:sz w:val="32"/>
          <w:szCs w:val="32"/>
          <w:rtl/>
        </w:rPr>
        <w:footnoteReference w:id="94"/>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4. الأخبار الدالّة -قولًا وفعلًا وتقريرًا- على جواز التمسّك بظواهر الكتاب: مثل قول الباقر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لمّا قال زرارة: مِن أين علمتَ أنّ المسح ببعض الرأس؟ فقال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«لمكان الباء»</w:t>
      </w:r>
      <w:r w:rsidR="00CF7297">
        <w:rPr>
          <w:rStyle w:val="FootnoteReference"/>
          <w:rFonts w:ascii="Adobe Arabic" w:eastAsia="Times New Roman" w:hAnsi="Adobe Arabic" w:cs="Adobe Arabic"/>
          <w:color w:val="000000"/>
          <w:sz w:val="32"/>
          <w:szCs w:val="32"/>
          <w:rtl/>
        </w:rPr>
        <w:footnoteReference w:id="95"/>
      </w:r>
      <w:r w:rsidRPr="001609BB">
        <w:rPr>
          <w:rFonts w:ascii="Adobe Arabic" w:eastAsia="Times New Roman" w:hAnsi="Adobe Arabic" w:cs="Adobe Arabic"/>
          <w:color w:val="000000"/>
          <w:sz w:val="32"/>
          <w:szCs w:val="32"/>
          <w:rtl/>
        </w:rPr>
        <w:t>؛ فعرّفه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مورد استفادة الحكم من ظاهر الكتاب. </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وقول الصادق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في مقام نهي الدوانيقيّ عن قبول خبر النّمام: "إنّه فاسق، وقال الله: </w:t>
      </w:r>
      <w:r w:rsidRPr="008711A0">
        <w:rPr>
          <w:rFonts w:ascii="Traditional Arabic" w:eastAsia="Times New Roman" w:hAnsi="Traditional Arabic" w:cs="Traditional Arabic"/>
          <w:b/>
          <w:bCs/>
          <w:color w:val="538135" w:themeColor="accent6" w:themeShade="BF"/>
          <w:sz w:val="32"/>
          <w:szCs w:val="32"/>
          <w:rtl/>
        </w:rPr>
        <w:t>﴿إِن جَآءَكُم</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فَاسِقُۢ</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بِنَبَإ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فَتَبَيَّنُوٓاْ﴾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96"/>
      </w:r>
      <w:r w:rsidRPr="001609BB">
        <w:rPr>
          <w:rFonts w:ascii="Adobe Arabic" w:eastAsia="Times New Roman" w:hAnsi="Adobe Arabic" w:cs="Adobe Arabic"/>
          <w:color w:val="000000"/>
          <w:sz w:val="32"/>
          <w:szCs w:val="32"/>
          <w:rtl/>
        </w:rPr>
        <w:t>"</w:t>
      </w:r>
      <w:r w:rsidR="00CF7297">
        <w:rPr>
          <w:rStyle w:val="FootnoteReference"/>
          <w:rFonts w:ascii="Adobe Arabic" w:eastAsia="Times New Roman" w:hAnsi="Adobe Arabic" w:cs="Adobe Arabic"/>
          <w:color w:val="000000"/>
          <w:sz w:val="32"/>
          <w:szCs w:val="32"/>
          <w:rtl/>
        </w:rPr>
        <w:footnoteReference w:id="97"/>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وقوله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لابنه إسماعيل: "إنّ الله عزَّ وجلَّ يقول: </w:t>
      </w:r>
      <w:r w:rsidRPr="008711A0">
        <w:rPr>
          <w:rFonts w:ascii="Traditional Arabic" w:eastAsia="Times New Roman" w:hAnsi="Traditional Arabic" w:cs="Traditional Arabic"/>
          <w:b/>
          <w:bCs/>
          <w:color w:val="538135" w:themeColor="accent6" w:themeShade="BF"/>
          <w:sz w:val="32"/>
          <w:szCs w:val="32"/>
          <w:rtl/>
        </w:rPr>
        <w:t>﴿يُؤ</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وَيُؤۡمِنُ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لِلۡمُؤۡمِنِينَ﴾</w:t>
      </w:r>
      <w:r w:rsidR="00CF7297">
        <w:rPr>
          <w:rStyle w:val="FootnoteReference"/>
          <w:rFonts w:ascii="Traditional Arabic" w:eastAsia="Times New Roman" w:hAnsi="Traditional Arabic" w:cs="Traditional Arabic"/>
          <w:b/>
          <w:bCs/>
          <w:color w:val="538135" w:themeColor="accent6" w:themeShade="BF"/>
          <w:sz w:val="32"/>
          <w:szCs w:val="32"/>
          <w:rtl/>
        </w:rPr>
        <w:footnoteReference w:id="98"/>
      </w:r>
      <w:r w:rsidRPr="001609BB">
        <w:rPr>
          <w:rFonts w:ascii="Adobe Arabic" w:eastAsia="Times New Roman" w:hAnsi="Adobe Arabic" w:cs="Adobe Arabic"/>
          <w:color w:val="000000"/>
          <w:sz w:val="32"/>
          <w:szCs w:val="32"/>
          <w:rtl/>
        </w:rPr>
        <w:t>، فإذا شهد عندك المؤمنون فصدّقهم"</w:t>
      </w:r>
      <w:r w:rsidR="00CF7297">
        <w:rPr>
          <w:rStyle w:val="FootnoteReference"/>
          <w:rFonts w:ascii="Adobe Arabic" w:eastAsia="Times New Roman" w:hAnsi="Adobe Arabic" w:cs="Adobe Arabic"/>
          <w:color w:val="000000"/>
          <w:sz w:val="32"/>
          <w:szCs w:val="32"/>
          <w:rtl/>
        </w:rPr>
        <w:footnoteReference w:id="99"/>
      </w:r>
      <w:r w:rsidRPr="001609BB">
        <w:rPr>
          <w:rFonts w:ascii="Adobe Arabic" w:eastAsia="Times New Roman" w:hAnsi="Adobe Arabic" w:cs="Adobe Arabic"/>
          <w:color w:val="000000"/>
          <w:sz w:val="32"/>
          <w:szCs w:val="32"/>
          <w:rtl/>
        </w:rPr>
        <w:t>.</w:t>
      </w:r>
    </w:p>
    <w:p w:rsidR="00064AC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وقوله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لمن أطال الجلوس في بيت الخلاء لاستماع الغناء، اعتذارًا بأنّه لم يكن شيئًا أتاه برجله: "أَمَا سمعتَ قولَ الله عزَّ وجلَّ: </w:t>
      </w:r>
      <w:r w:rsidRPr="008711A0">
        <w:rPr>
          <w:rFonts w:ascii="Traditional Arabic" w:eastAsia="Times New Roman" w:hAnsi="Traditional Arabic" w:cs="Traditional Arabic"/>
          <w:b/>
          <w:bCs/>
          <w:color w:val="538135" w:themeColor="accent6" w:themeShade="BF"/>
          <w:sz w:val="32"/>
          <w:szCs w:val="32"/>
          <w:rtl/>
        </w:rPr>
        <w:t>﴿إِنَّ ٱلسَّم</w:t>
      </w:r>
      <w:r w:rsidRPr="008711A0">
        <w:rPr>
          <w:rFonts w:ascii="Traditional Arabic" w:eastAsia="Times New Roman" w:hAnsi="Traditional Arabic" w:cs="Traditional Arabic" w:hint="cs"/>
          <w:b/>
          <w:bCs/>
          <w:color w:val="538135" w:themeColor="accent6" w:themeShade="BF"/>
          <w:sz w:val="32"/>
          <w:szCs w:val="32"/>
          <w:rtl/>
        </w:rPr>
        <w:t>ۡعَ</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وَٱلۡبَصَرَ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وَٱلۡفُؤَادَ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أُوْلَٰٓئِكَ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مَسۡ‍ُٔولا﴾</w:t>
      </w:r>
      <w:r w:rsidRPr="008711A0">
        <w:rPr>
          <w:rFonts w:ascii="Traditional Arabic" w:eastAsia="Times New Roman" w:hAnsi="Traditional Arabic" w:cs="Traditional Arabic"/>
          <w:b/>
          <w:bCs/>
          <w:color w:val="538135" w:themeColor="accent6" w:themeShade="BF"/>
          <w:sz w:val="32"/>
          <w:szCs w:val="32"/>
          <w:rtl/>
        </w:rPr>
        <w:t>"</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00"/>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19" w:name="_Toc155869515"/>
      <w:r w:rsidRPr="0064226D">
        <w:rPr>
          <w:rFonts w:ascii="Adobe Arabic" w:eastAsia="Times New Roman" w:hAnsi="Adobe Arabic" w:cs="Adobe Arabic"/>
          <w:b/>
          <w:bCs/>
          <w:color w:val="538135" w:themeColor="accent6" w:themeShade="BF"/>
          <w:sz w:val="40"/>
          <w:szCs w:val="40"/>
          <w:rtl/>
        </w:rPr>
        <w:lastRenderedPageBreak/>
        <w:t>الدرس الرابع</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حجّيّة السنّة 1</w:t>
      </w:r>
      <w:bookmarkEnd w:id="19"/>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أهمّ الأدلّة على حجّيّة السنّة.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المراد من الصحابيّ وسنّة الصحابيّ.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يدرك بطلان حجّيّة سنّة الصحابيّ.</w:t>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20" w:name="_Toc155869516"/>
      <w:r w:rsidRPr="00465CD4">
        <w:rPr>
          <w:rFonts w:ascii="Adobe Arabic" w:eastAsia="Times New Roman" w:hAnsi="Adobe Arabic" w:cs="Adobe Arabic"/>
          <w:b/>
          <w:bCs/>
          <w:color w:val="996633"/>
          <w:sz w:val="36"/>
          <w:szCs w:val="36"/>
          <w:rtl/>
        </w:rPr>
        <w:lastRenderedPageBreak/>
        <w:t>مقدّمة</w:t>
      </w:r>
      <w:bookmarkEnd w:id="20"/>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لا إشكال لدى المسلمين جميعًا في حجّيّة السنّة بمعنى قول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وفعله وتقريره</w:t>
      </w:r>
      <w:r w:rsidR="00CF7297">
        <w:rPr>
          <w:rStyle w:val="FootnoteReference"/>
          <w:rFonts w:ascii="Adobe Arabic" w:eastAsia="Times New Roman" w:hAnsi="Adobe Arabic" w:cs="Adobe Arabic"/>
          <w:color w:val="000000"/>
          <w:sz w:val="32"/>
          <w:szCs w:val="32"/>
          <w:rtl/>
        </w:rPr>
        <w:footnoteReference w:id="101"/>
      </w:r>
      <w:r w:rsidRPr="001609BB">
        <w:rPr>
          <w:rFonts w:ascii="Adobe Arabic" w:eastAsia="Times New Roman" w:hAnsi="Adobe Arabic" w:cs="Adobe Arabic"/>
          <w:color w:val="000000"/>
          <w:sz w:val="32"/>
          <w:szCs w:val="32"/>
          <w:rtl/>
        </w:rPr>
        <w:t>، فهي من المصادر الأساسيّة لأصول الدين وفروعه عندهم، كما تشهد به كتبهم. وإنكار حجيّتها مستلزمٌ لإنكار كثير ممّا عُلِم من الدين بالضرورة</w:t>
      </w:r>
      <w:r w:rsidR="00CF7297">
        <w:rPr>
          <w:rStyle w:val="FootnoteReference"/>
          <w:rFonts w:ascii="Adobe Arabic" w:eastAsia="Times New Roman" w:hAnsi="Adobe Arabic" w:cs="Adobe Arabic"/>
          <w:color w:val="000000"/>
          <w:sz w:val="32"/>
          <w:szCs w:val="32"/>
          <w:rtl/>
        </w:rPr>
        <w:footnoteReference w:id="102"/>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لكنّ الموجود اليوم، نتيجة البُعد عن عصر النصّ هي طرق مباشرة أو غير مباشرة إلى السنّة بالمعنى المتقدّم</w:t>
      </w:r>
      <w:r w:rsidR="00CF7297">
        <w:rPr>
          <w:rStyle w:val="FootnoteReference"/>
          <w:rFonts w:ascii="Adobe Arabic" w:eastAsia="Times New Roman" w:hAnsi="Adobe Arabic" w:cs="Adobe Arabic"/>
          <w:color w:val="000000"/>
          <w:sz w:val="32"/>
          <w:szCs w:val="32"/>
          <w:rtl/>
        </w:rPr>
        <w:footnoteReference w:id="103"/>
      </w:r>
      <w:hyperlink r:id="rId10" w:anchor="footnote-271" w:history="1"/>
      <w:r w:rsidRPr="001609BB">
        <w:rPr>
          <w:rFonts w:ascii="Adobe Arabic" w:eastAsia="Times New Roman" w:hAnsi="Adobe Arabic" w:cs="Adobe Arabic"/>
          <w:color w:val="000000"/>
          <w:sz w:val="32"/>
          <w:szCs w:val="32"/>
          <w:rtl/>
        </w:rPr>
        <w:t>. وهذه الطرق، إن أفادت علمًا وجدانيًّا</w:t>
      </w:r>
      <w:r w:rsidR="00CF7297">
        <w:rPr>
          <w:rStyle w:val="FootnoteReference"/>
          <w:rFonts w:ascii="Adobe Arabic" w:eastAsia="Times New Roman" w:hAnsi="Adobe Arabic" w:cs="Adobe Arabic"/>
          <w:color w:val="000000"/>
          <w:sz w:val="32"/>
          <w:szCs w:val="32"/>
          <w:rtl/>
        </w:rPr>
        <w:footnoteReference w:id="104"/>
      </w:r>
      <w:r w:rsidRPr="001609BB">
        <w:rPr>
          <w:rFonts w:ascii="Adobe Arabic" w:eastAsia="Times New Roman" w:hAnsi="Adobe Arabic" w:cs="Adobe Arabic"/>
          <w:color w:val="000000"/>
          <w:sz w:val="32"/>
          <w:szCs w:val="32"/>
          <w:rtl/>
        </w:rPr>
        <w:t> بصدور القول أو الفعل أو التقرير، ثبتت به السنّة، التي تقدَّم أنّه لا شكّ في حجّيّتها، وإلّا انتقل الكلام إلى حجّيّة الظنّ أو الطرق الظنّيّة للسنّة تعبّدًا، أو العمل بالاحتياط وفق ما وصل من هذه الطرق. وتفصيل البحث في ذلك خارج عن محلّ الكلام، وموكول إلى محلّه من كتب أصول الفقه، وقد تأتي بعض الإشارات عند البحث في العلاقة بين القرآن الكريم والسنّة الظنّيّة.</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وعلى الرغم من التسالم على حجّيّة السنّة بين الأمّة، ذُكِرَت لذلك أدلّة من القرآن الكريم والإجماع والعقل، سنستعرض بعضها في ما يلي.</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21" w:name="_Toc155869517"/>
      <w:r w:rsidRPr="00465CD4">
        <w:rPr>
          <w:rFonts w:ascii="Adobe Arabic" w:eastAsia="Times New Roman" w:hAnsi="Adobe Arabic" w:cs="Adobe Arabic"/>
          <w:b/>
          <w:bCs/>
          <w:color w:val="996633"/>
          <w:sz w:val="36"/>
          <w:szCs w:val="36"/>
          <w:rtl/>
        </w:rPr>
        <w:t>الأدلّة على حجّيّة السنّة</w:t>
      </w:r>
      <w:bookmarkEnd w:id="21"/>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القرآن الكريم</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يمكن الاستدلال على حجّيّة السنّة بآيات عدّة من القرآن الكريم، أمثال: </w:t>
      </w:r>
      <w:r w:rsidRPr="008711A0">
        <w:rPr>
          <w:rFonts w:ascii="Traditional Arabic" w:eastAsia="Times New Roman" w:hAnsi="Traditional Arabic" w:cs="Traditional Arabic"/>
          <w:b/>
          <w:bCs/>
          <w:color w:val="538135" w:themeColor="accent6" w:themeShade="BF"/>
          <w:sz w:val="32"/>
          <w:szCs w:val="32"/>
          <w:rtl/>
        </w:rPr>
        <w:t>﴿وَأَطِيعُواْ ٱللَّهَ وَأَطِيعُواْ ٱلرَّسُولَ وَٱح</w:t>
      </w:r>
      <w:r w:rsidRPr="008711A0">
        <w:rPr>
          <w:rFonts w:ascii="Traditional Arabic" w:eastAsia="Times New Roman" w:hAnsi="Traditional Arabic" w:cs="Traditional Arabic" w:hint="cs"/>
          <w:b/>
          <w:bCs/>
          <w:color w:val="538135" w:themeColor="accent6" w:themeShade="BF"/>
          <w:sz w:val="32"/>
          <w:szCs w:val="32"/>
          <w:rtl/>
        </w:rPr>
        <w:t>ۡذَرُواْۚ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تَوَلَّيۡتُمۡ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فَٱعۡلَمُوٓاْ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رَسُولِنَا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ٱلۡبَلَٰغُ</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ٱلۡمُبِينُ﴾</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05"/>
      </w:r>
      <w:r w:rsidRPr="001609BB">
        <w:rPr>
          <w:rFonts w:ascii="Adobe Arabic" w:eastAsia="Times New Roman" w:hAnsi="Adobe Arabic" w:cs="Adobe Arabic"/>
          <w:color w:val="000000"/>
          <w:sz w:val="32"/>
          <w:szCs w:val="32"/>
          <w:rtl/>
        </w:rPr>
        <w:t>، </w:t>
      </w:r>
      <w:r w:rsidRPr="008711A0">
        <w:rPr>
          <w:rFonts w:ascii="Traditional Arabic" w:eastAsia="Times New Roman" w:hAnsi="Traditional Arabic" w:cs="Traditional Arabic"/>
          <w:b/>
          <w:bCs/>
          <w:color w:val="538135" w:themeColor="accent6" w:themeShade="BF"/>
          <w:sz w:val="32"/>
          <w:szCs w:val="32"/>
          <w:rtl/>
        </w:rPr>
        <w:t>﴿قُل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كُنتُمۡ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تُحِبُّونَ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فَٱتَّبِعُونِي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يُحۡبِبۡكُمُ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وَيَغۡفِرۡ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ذُنُوبَكُمۡۚ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غَفُور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w:t>
      </w:r>
      <w:r w:rsidRPr="008711A0">
        <w:rPr>
          <w:rFonts w:ascii="Traditional Arabic" w:eastAsia="Times New Roman" w:hAnsi="Traditional Arabic" w:cs="Traditional Arabic"/>
          <w:b/>
          <w:bCs/>
          <w:color w:val="538135" w:themeColor="accent6" w:themeShade="BF"/>
          <w:sz w:val="32"/>
          <w:szCs w:val="32"/>
          <w:rtl/>
        </w:rPr>
        <w:t>َّحِيم ٣١ قُل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أَطِيعُواْ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وَٱلرَّسُولَۖ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تَوَلَّوۡاْ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يُحِبُّ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ٱلۡكَٰفِرِينَ﴾</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06"/>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وآيتا آل عمران المتقدّمتان، إن أمكن استفادة شمول الحجّيّة لغير القول من الفعل والتقرير منهما من جهة وجوب الاتّباع مثلًا، فهو، وإلّا يمكن الاستدلال على حجّيّة خصوص الفعل والتقرير بما دلّ من القرآن والعقل والسنّة نفسها -بعد ثبوت حجّيّة القول منها بأمثال الآيات السابقة- على العصمة المطلقة أو وجوب الاتّباع مطلقًا.</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ويدلّ على العصمة عن الخطأ في التبليغ -مثلًا- قوله تعالى: </w:t>
      </w:r>
      <w:r w:rsidRPr="008711A0">
        <w:rPr>
          <w:rFonts w:ascii="Traditional Arabic" w:eastAsia="Times New Roman" w:hAnsi="Traditional Arabic" w:cs="Traditional Arabic"/>
          <w:b/>
          <w:bCs/>
          <w:color w:val="538135" w:themeColor="accent6" w:themeShade="BF"/>
          <w:sz w:val="32"/>
          <w:szCs w:val="32"/>
          <w:rtl/>
        </w:rPr>
        <w:t>﴿عَٰلِمُ ٱل</w:t>
      </w:r>
      <w:r w:rsidRPr="008711A0">
        <w:rPr>
          <w:rFonts w:ascii="Traditional Arabic" w:eastAsia="Times New Roman" w:hAnsi="Traditional Arabic" w:cs="Traditional Arabic" w:hint="cs"/>
          <w:b/>
          <w:bCs/>
          <w:color w:val="538135" w:themeColor="accent6" w:themeShade="BF"/>
          <w:sz w:val="32"/>
          <w:szCs w:val="32"/>
          <w:rtl/>
        </w:rPr>
        <w:t>ۡغَيۡبِ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يُظۡهِرُ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أَحَدًا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٢٦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ٱرۡتَضَىٰ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w:t>
      </w:r>
      <w:r w:rsidRPr="008711A0">
        <w:rPr>
          <w:rFonts w:ascii="Traditional Arabic" w:eastAsia="Times New Roman" w:hAnsi="Traditional Arabic" w:cs="Traditional Arabic"/>
          <w:b/>
          <w:bCs/>
          <w:color w:val="538135" w:themeColor="accent6" w:themeShade="BF"/>
          <w:sz w:val="32"/>
          <w:szCs w:val="32"/>
          <w:rtl/>
        </w:rPr>
        <w:t>َسُول فَإِنَّهُ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يَسۡلُكُ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يَدَيۡهِ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خَلۡفِهِۦ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رَصَدا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٢٧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لِّيَعۡلَمَ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أَبۡلَغُواْ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رِسَٰلَٰتِ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رَبِّهِمۡ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وَأَحَاطَ</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لَدَيۡهِمۡ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وَأَحۡصَىٰ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شَيۡءٍ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عَدَدَۢا﴾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07"/>
      </w:r>
      <w:r w:rsidRPr="001609BB">
        <w:rPr>
          <w:rFonts w:ascii="Adobe Arabic" w:eastAsia="Times New Roman" w:hAnsi="Adobe Arabic" w:cs="Adobe Arabic"/>
          <w:color w:val="000000"/>
          <w:sz w:val="32"/>
          <w:szCs w:val="32"/>
          <w:rtl/>
        </w:rPr>
        <w:t>. فظاهره أنّه سبحانه يختصّ رسله بالوحي، فيظهرهم ويؤيّدهم على الغيب، بمراقبة ما بين أيديهم وما خلفهم، والإحاطة بما لديهم، لحفظ الوحي عن الزوال والتغيّر بتغيير الشياطين وكل مغيّر غيرهم، ليتحقَّق إبلاغهم رسالات ربّهم. ونظيره قوله تعالى، حكايةً عن قول ملائكة الوحي: </w:t>
      </w:r>
      <w:r w:rsidRPr="008711A0">
        <w:rPr>
          <w:rFonts w:ascii="Traditional Arabic" w:eastAsia="Times New Roman" w:hAnsi="Traditional Arabic" w:cs="Traditional Arabic"/>
          <w:b/>
          <w:bCs/>
          <w:color w:val="538135" w:themeColor="accent6" w:themeShade="BF"/>
          <w:sz w:val="32"/>
          <w:szCs w:val="32"/>
          <w:rtl/>
        </w:rPr>
        <w:t>﴿وَمَا نَتَنَزَّلُ إِلَّا بِأَم</w:t>
      </w:r>
      <w:r w:rsidRPr="008711A0">
        <w:rPr>
          <w:rFonts w:ascii="Traditional Arabic" w:eastAsia="Times New Roman" w:hAnsi="Traditional Arabic" w:cs="Traditional Arabic" w:hint="cs"/>
          <w:b/>
          <w:bCs/>
          <w:color w:val="538135" w:themeColor="accent6" w:themeShade="BF"/>
          <w:sz w:val="32"/>
          <w:szCs w:val="32"/>
          <w:rtl/>
        </w:rPr>
        <w:t>ۡرِ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رَبِّكَۖ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أَيۡدِينَا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خَلۡفَنَا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w:t>
      </w:r>
      <w:r w:rsidRPr="008711A0">
        <w:rPr>
          <w:rFonts w:ascii="Traditional Arabic" w:eastAsia="Times New Roman" w:hAnsi="Traditional Arabic" w:cs="Traditional Arabic"/>
          <w:b/>
          <w:bCs/>
          <w:color w:val="538135" w:themeColor="accent6" w:themeShade="BF"/>
          <w:sz w:val="32"/>
          <w:szCs w:val="32"/>
          <w:rtl/>
        </w:rPr>
        <w:t>نَ رَبُّكَ نَسِيّا﴾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08"/>
      </w:r>
      <w:r w:rsidRPr="001609BB">
        <w:rPr>
          <w:rFonts w:ascii="Adobe Arabic" w:eastAsia="Times New Roman" w:hAnsi="Adobe Arabic" w:cs="Adobe Arabic"/>
          <w:color w:val="000000"/>
          <w:sz w:val="32"/>
          <w:szCs w:val="32"/>
          <w:rtl/>
        </w:rPr>
        <w:t>،</w:t>
      </w:r>
      <w:r w:rsidR="00CF7297">
        <w:rPr>
          <w:rStyle w:val="FootnoteReference"/>
          <w:rFonts w:ascii="Adobe Arabic" w:eastAsia="Times New Roman" w:hAnsi="Adobe Arabic" w:cs="Adobe Arabic"/>
          <w:color w:val="000000"/>
          <w:sz w:val="32"/>
          <w:szCs w:val="32"/>
          <w:rtl/>
        </w:rPr>
        <w:footnoteReference w:id="109"/>
      </w:r>
      <w:r w:rsidRPr="001609BB">
        <w:rPr>
          <w:rFonts w:ascii="Adobe Arabic" w:eastAsia="Times New Roman" w:hAnsi="Adobe Arabic" w:cs="Adobe Arabic"/>
          <w:color w:val="000000"/>
          <w:sz w:val="32"/>
          <w:szCs w:val="32"/>
          <w:rtl/>
        </w:rPr>
        <w:t>.</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ويمكن تعميم التبليغ إلى القول والفعل؛ فإنّ في الفعل تبليغًا كما في القول. وعلى هذا، فكلّ رسول معصوم من المعصية، باقتراف المحرّمات وترك الواجبات الدينيّة؛ لأنّ في ذلك تبليغًا لِما يناقض الدين، فهو معصوم من فعل المعصية، كعصمته من الخطأ في أخذ الوحي وحفظه قولاً</w:t>
      </w:r>
      <w:r w:rsidR="00CF7297">
        <w:rPr>
          <w:rStyle w:val="FootnoteReference"/>
          <w:rFonts w:ascii="Adobe Arabic" w:eastAsia="Times New Roman" w:hAnsi="Adobe Arabic" w:cs="Adobe Arabic"/>
          <w:color w:val="000000"/>
          <w:sz w:val="32"/>
          <w:szCs w:val="32"/>
          <w:rtl/>
        </w:rPr>
        <w:footnoteReference w:id="110"/>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وبالجملة، فالمتدبّر في مجموع آيات الكتاب العزيز، لا يشكّ بالمعنى الواسع لحجّيّة السنّة الذي يعتقد به المسلمون.</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الإجماع:</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ذكرنا في المقدّمة، أنّ المسلمين مجمعون على حجّيّة السنّة الثابتة عن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وقد نقله غير واحد من العلماء والباحثين</w:t>
      </w:r>
      <w:r w:rsidR="00CF7297">
        <w:rPr>
          <w:rStyle w:val="FootnoteReference"/>
          <w:rFonts w:ascii="Adobe Arabic" w:eastAsia="Times New Roman" w:hAnsi="Adobe Arabic" w:cs="Adobe Arabic"/>
          <w:color w:val="000000"/>
          <w:sz w:val="32"/>
          <w:szCs w:val="32"/>
          <w:rtl/>
        </w:rPr>
        <w:footnoteReference w:id="111"/>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هذا، ولكن إن استُند في حجّيّة الإجماع إلى قيام دليل شرعيّ تعبّديّ من السنّة على حجيّته، أو إلى مثل الحديث المنسوب إليه</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"لا تجتمعُ أمّتي على ضلالة"</w:t>
      </w:r>
      <w:r w:rsidR="00CF7297">
        <w:rPr>
          <w:rStyle w:val="FootnoteReference"/>
          <w:rFonts w:ascii="Adobe Arabic" w:eastAsia="Times New Roman" w:hAnsi="Adobe Arabic" w:cs="Adobe Arabic"/>
          <w:color w:val="000000"/>
          <w:sz w:val="32"/>
          <w:szCs w:val="32"/>
          <w:rtl/>
        </w:rPr>
        <w:footnoteReference w:id="112"/>
      </w:r>
      <w:r w:rsidRPr="001609BB">
        <w:rPr>
          <w:rFonts w:ascii="Adobe Arabic" w:eastAsia="Times New Roman" w:hAnsi="Adobe Arabic" w:cs="Adobe Arabic"/>
          <w:color w:val="000000"/>
          <w:sz w:val="32"/>
          <w:szCs w:val="32"/>
          <w:rtl/>
        </w:rPr>
        <w:t>، لزم الدور؛ لكونه من الاستدلال على حجّيّة السنّة بالسنّة نفسها، إلّا أن يُتَمَّم الاستدلال بما دلّ على حجّيّة أقواله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من أمثال الآيات الآنفة الذكر. وإن استُنِد في حجّيّته إلى حكم العقل المدَّعى بلزوم تدخُّل الشارع لمنع الاجتماع على الخطأ -وهو ما يُسَمّى بقاعدة اللطف- فله وجهٌ، بعد التسليم بالقاعدة وشمولها للمقام.</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3. العقل:</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ويُراد من الدليل العقليّ هنا، خصوص ما دلّ على عصمته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مراتبها الثلاث؛ أي: العصمة من المعصية، والعصمة في تبليغ الرسالة، والعصمة من الخطأ والسهو في تطبيق الشريعة والأمور الفرديّة والاجتماعيّة.</w:t>
      </w:r>
    </w:p>
    <w:p w:rsidR="00064ACB" w:rsidRDefault="00064A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وعمدة الدليل العقليّ على ذلك كلّه، هو ما يُسَمَّى بدليل الوثوق. قال المحقّق نصير الدين الطوسيّ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"ويجب في النبيّ العصمة، ليحصل الوثوق، فيحصل الغرض"</w:t>
      </w:r>
      <w:r w:rsidR="00CF7297">
        <w:rPr>
          <w:rStyle w:val="FootnoteReference"/>
          <w:rFonts w:ascii="Adobe Arabic" w:eastAsia="Times New Roman" w:hAnsi="Adobe Arabic" w:cs="Adobe Arabic"/>
          <w:color w:val="000000"/>
          <w:sz w:val="32"/>
          <w:szCs w:val="32"/>
          <w:rtl/>
        </w:rPr>
        <w:footnoteReference w:id="113"/>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وتوضيحه: إنّ الغاية المتوخّاة من بعث الأنبياء هي هداية الناس إلى صراط الله المستقيم، ولا تحصل هذه الغاية إلّا بكسب اعتمادهم وثقتهم المطلقة بصحّة ما يقوله الأنبياء ويحكونه عن الله تعالى. فإذا شاهد الناس نبيَّهم يعصي أو يسهو في تطبيق الشريعة الموكَل إليه تبليغها، أو في أيّ أمر آخر في حياته الفرديّة أو الاجتماعيّة، فإنّ الشكّ سيجد طريقاً رحبة للتسرّب إلى أذهانهم في ما يخصّ مجال الوحي والرسالة أيضًا، بل لن يبقى شيء ممّا جاء به هذا النبيّ إلاّ وتَطْرُقُهُ علامات الاستفهام. ولسان حال الناس يقول: "هل ما يحكيه عن الله تعالى من الوظائف، هي وظائف إلهيّة حقّاً؟ أم إنّها مزيجٌ من الأخطاء والاشتباهات؟ وبأيّ دليل هو لا يخطئ في مجال الوحي، إن كان يخطئ ويسهو في المجالَينْ الآخرين؟". وهذا الحديث النفسيّ والشعور الداخليّ، إذا تعمَّق في أذهانهم، سوف يَسْلُب اعتمادهم على النبيّ، ومن ثمّ تنتفي النتيجة المطلوبة من بعثه.</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فلا بدّ -لسدّ هذا الباب الذي ينافي الغاية المطلوبة من إرسال الرسل- من أن يكون النبيّ مصوناً عن الخطأ في عامّة المراحل، سواء في حقل الوحي، أو تطبيق الشريعة، أو في الأُمور الفرديّة والاجتماعيّة</w:t>
      </w:r>
      <w:r w:rsidR="00CF7297">
        <w:rPr>
          <w:rStyle w:val="FootnoteReference"/>
          <w:rFonts w:ascii="Adobe Arabic" w:eastAsia="Times New Roman" w:hAnsi="Adobe Arabic" w:cs="Adobe Arabic"/>
          <w:color w:val="000000"/>
          <w:sz w:val="32"/>
          <w:szCs w:val="32"/>
          <w:rtl/>
        </w:rPr>
        <w:footnoteReference w:id="114"/>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22" w:name="_Toc155869518"/>
      <w:r w:rsidRPr="00465CD4">
        <w:rPr>
          <w:rFonts w:ascii="Adobe Arabic" w:eastAsia="Times New Roman" w:hAnsi="Adobe Arabic" w:cs="Adobe Arabic"/>
          <w:b/>
          <w:bCs/>
          <w:color w:val="996633"/>
          <w:sz w:val="36"/>
          <w:szCs w:val="36"/>
          <w:rtl/>
        </w:rPr>
        <w:t>السنن المدَّعى دخولها -واقعًا أو حكمًا- في السنّة الشريفة</w:t>
      </w:r>
      <w:bookmarkEnd w:id="22"/>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سنّة الصحابة:</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 الصحبة لغةً وعرفًا واصطلاحًا: قال الراغب الأصفهانيّ: "الصاحب: الملازم، إنسانًا كان أو حيوانًا أو مكانًا أو زمانًا. ولا فرق بين أن تكون مصاحبته بالبدن -وهو الأصل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والأكثر- أو بالعناية والهمّة ولا يُقال في العرف إلّا لمن كثرت ملازمته"</w:t>
      </w:r>
      <w:r w:rsidR="00CF7297">
        <w:rPr>
          <w:rStyle w:val="FootnoteReference"/>
          <w:rFonts w:ascii="Adobe Arabic" w:eastAsia="Times New Roman" w:hAnsi="Adobe Arabic" w:cs="Adobe Arabic"/>
          <w:color w:val="000000"/>
          <w:sz w:val="32"/>
          <w:szCs w:val="32"/>
          <w:rtl/>
        </w:rPr>
        <w:footnoteReference w:id="115"/>
      </w:r>
      <w:r w:rsidRPr="001609BB">
        <w:rPr>
          <w:rFonts w:ascii="Adobe Arabic" w:eastAsia="Times New Roman" w:hAnsi="Adobe Arabic" w:cs="Adobe Arabic"/>
          <w:color w:val="000000"/>
          <w:sz w:val="32"/>
          <w:szCs w:val="32"/>
          <w:rtl/>
        </w:rPr>
        <w:t>. و"الصحابة"، وإن كان يُطلق في الأصل على جمع صاحب، وهو يشمل كلّ من لازم شخصًا، لكنّه غلب في عُرف المتشرّعة على من صحب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واختلفوا في أنّ الصحابيّ يُشترط في كونه صحابيًّا طولُ المجالسة أم لا؟ فالذي نُسِب إلى جمهور الأصوليّين وجمعٍ من المحدّثين هو اشتراطه، وأيّدوه بالعرف، فإنّ الصحابيّ لا يَفهم منه أهلُ العرف إلّا من يصحب صحبة معتدّاً بها، لا مَن له رؤية لحظة مثلًا، وإن لم تقع معها مجالسة ولا مماشاة ولا مكالمة. ومنهم من اشترط، مع ذلك، أن يغزو مع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غزوة أو غزوتَين</w:t>
      </w:r>
      <w:r w:rsidR="00CF7297">
        <w:rPr>
          <w:rStyle w:val="FootnoteReference"/>
          <w:rFonts w:ascii="Adobe Arabic" w:eastAsia="Times New Roman" w:hAnsi="Adobe Arabic" w:cs="Adobe Arabic"/>
          <w:color w:val="000000"/>
          <w:sz w:val="32"/>
          <w:szCs w:val="32"/>
          <w:rtl/>
        </w:rPr>
        <w:footnoteReference w:id="116"/>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والاصطلاح الآخر في الصحابيّ، هو المنسوب للمحدّثين، ولعلّه الأشهر. قال ابن حجر: "وأصحّ ما وقفتُ عليه من ذلك [أنّ] الصحابيّ مَن لقي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مؤمناً به، ومات على الإسلام، فيدخل في من لقيه مَن طالت مجالسته له أو قصرت، ومَن روى عنه أو لم يروِ، ومَن غزا معه أو لم يغزُ، ومَن رآه رؤية ولو لم يجالسه، ومَن لم يَرَه لعارضٍ كالعمى"</w:t>
      </w:r>
      <w:r w:rsidR="00CF7297">
        <w:rPr>
          <w:rStyle w:val="FootnoteReference"/>
          <w:rFonts w:ascii="Adobe Arabic" w:eastAsia="Times New Roman" w:hAnsi="Adobe Arabic" w:cs="Adobe Arabic"/>
          <w:color w:val="000000"/>
          <w:sz w:val="32"/>
          <w:szCs w:val="32"/>
          <w:rtl/>
        </w:rPr>
        <w:footnoteReference w:id="117"/>
      </w:r>
      <w:r w:rsidRPr="001609BB">
        <w:rPr>
          <w:rFonts w:ascii="Adobe Arabic" w:eastAsia="Times New Roman" w:hAnsi="Adobe Arabic" w:cs="Adobe Arabic"/>
          <w:color w:val="000000"/>
          <w:sz w:val="32"/>
          <w:szCs w:val="32"/>
          <w:rtl/>
        </w:rPr>
        <w:t>. وقال الشهيد الثاني: "الصحابيّ: من لقي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مؤمنًا به، ومات على الإسلام، وإن تخلَّلت ردّته بين لقيه مؤمنًا به، وبين موته مسلمًا، على الأظهر"</w:t>
      </w:r>
      <w:r w:rsidR="00CF7297">
        <w:rPr>
          <w:rStyle w:val="FootnoteReference"/>
          <w:rFonts w:ascii="Adobe Arabic" w:eastAsia="Times New Roman" w:hAnsi="Adobe Arabic" w:cs="Adobe Arabic"/>
          <w:color w:val="000000"/>
          <w:sz w:val="32"/>
          <w:szCs w:val="32"/>
          <w:rtl/>
        </w:rPr>
        <w:footnoteReference w:id="118"/>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تحرير محلّ النزاع:</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اتّفقَت آراء علماء الأصول عند أهل السّنة، على أن قول الصحابيّ الذي لا يُدرَك بالاجتهاد والعقل، حجّة على المسلمين، على أساس أنّ قول الصحابيّ في مثل هذه الأحوال، يستند إلى دليل شرعيّ، ولا يمكن أن يقوله تشهّيًا وعبثًا.</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وكذلك اتّفقَت آراؤهم على قبول قول الصحابيّ الذي أبداه ولم يخالفه فيه أحد من الصحابة، وكونه حجّة على المسلمين؛ لأنّ اتّفاقهم دليلٌ على وقوفهم على مستند شرعيّ صحيح.</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أمّا قول الصحابيّ في الاجتهاد، فقد اتّفقوا على أنّه ليس بحجّة على غيره من الصحابة المجتهدين.</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هذا في صورة عدم تعدُّد أقوال الصحابة واختلاف اجتهاداتهم، أمّا في صورة التعدُّد والاختلاف، فقد اختلفوا في أنّ قول الصحابيّ واجتهاده -حينئذٍ- يكون حجّة على التابعين ومَن بعدهم أم لا؟ ذهب بعضهم –كأبي حنيفة ومالك– إلى وجوب الالتزام بأحد أقوال الصحابة بدون تعيين، واختيار المناسب منها، مع عدم الخروج عن مجموع آرائهم، وذهب آخرون -كالشافعيّ وأحمد بن حنبل– إلى عدم حجّيّة قول الصحابيّ حينئذٍ، فتجوز متابعته، وتجوز مخالفته</w:t>
      </w:r>
      <w:r w:rsidR="00CF7297">
        <w:rPr>
          <w:rStyle w:val="FootnoteReference"/>
          <w:rFonts w:ascii="Adobe Arabic" w:eastAsia="Times New Roman" w:hAnsi="Adobe Arabic" w:cs="Adobe Arabic"/>
          <w:color w:val="000000"/>
          <w:sz w:val="32"/>
          <w:szCs w:val="32"/>
          <w:rtl/>
        </w:rPr>
        <w:footnoteReference w:id="119"/>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وفي المقابل، اتّفقت كلمة علماء الإماميّة على عدم حجّيّة قول الصحابيّ في نفسه، قال العلَّامة الطباطبائيّ في تفسير قوله تعالى: </w:t>
      </w:r>
      <w:r w:rsidRPr="008711A0">
        <w:rPr>
          <w:rFonts w:ascii="Traditional Arabic" w:eastAsia="Times New Roman" w:hAnsi="Traditional Arabic" w:cs="Traditional Arabic"/>
          <w:b/>
          <w:bCs/>
          <w:color w:val="538135" w:themeColor="accent6" w:themeShade="BF"/>
          <w:sz w:val="32"/>
          <w:szCs w:val="32"/>
          <w:rtl/>
        </w:rPr>
        <w:t>﴿وَأَنزَل</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لِتُبَيِّنَ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نُزِّلَ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إِلَيۡهِمۡ﴾</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20"/>
      </w:r>
      <w:r w:rsidRPr="001609BB">
        <w:rPr>
          <w:rFonts w:ascii="Adobe Arabic" w:eastAsia="Times New Roman" w:hAnsi="Adobe Arabic" w:cs="Adobe Arabic"/>
          <w:color w:val="000000"/>
          <w:sz w:val="32"/>
          <w:szCs w:val="32"/>
          <w:rtl/>
        </w:rPr>
        <w:t> «وفي الآية دلالة على حجّيّة قول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بيان الآيات القرآنيّة. هذا في بيانه</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نفسه، ويلحق به بيان أهل بيته، لحديث الثقلَين المتواتر وغيره. وأمّا سائر الأمّة من الصحابة أو التابعين أو العلماء، فلا حجّيّة لبيانهم؛ لعدم شمول الآية وعدم نصّ معتمَد عليه يعطي حجّيّة بيانهم على الإطلاق»</w:t>
      </w:r>
      <w:r w:rsidR="00CF7297">
        <w:rPr>
          <w:rStyle w:val="FootnoteReference"/>
          <w:rFonts w:ascii="Adobe Arabic" w:eastAsia="Times New Roman" w:hAnsi="Adobe Arabic" w:cs="Adobe Arabic"/>
          <w:color w:val="000000"/>
          <w:sz w:val="32"/>
          <w:szCs w:val="32"/>
          <w:rtl/>
        </w:rPr>
        <w:footnoteReference w:id="121"/>
      </w:r>
      <w:r w:rsidRPr="001609BB">
        <w:rPr>
          <w:rFonts w:ascii="Adobe Arabic" w:eastAsia="Times New Roman" w:hAnsi="Adobe Arabic" w:cs="Adobe Arabic"/>
          <w:color w:val="000000"/>
          <w:sz w:val="32"/>
          <w:szCs w:val="32"/>
          <w:rtl/>
        </w:rPr>
        <w:t>.</w:t>
      </w: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23" w:name="_Toc155869519"/>
      <w:r w:rsidRPr="0064226D">
        <w:rPr>
          <w:rFonts w:ascii="Adobe Arabic" w:eastAsia="Times New Roman" w:hAnsi="Adobe Arabic" w:cs="Adobe Arabic"/>
          <w:b/>
          <w:bCs/>
          <w:color w:val="538135" w:themeColor="accent6" w:themeShade="BF"/>
          <w:sz w:val="40"/>
          <w:szCs w:val="40"/>
          <w:rtl/>
        </w:rPr>
        <w:lastRenderedPageBreak/>
        <w:t>الدرس الخامس</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حجّيّة السنّة 2</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(سنّة أهل البيت </w:t>
      </w:r>
      <w:r w:rsidR="001609BB" w:rsidRPr="0064226D">
        <w:rPr>
          <w:rFonts w:ascii="Adobe Arabic" w:eastAsia="Times New Roman" w:hAnsi="Adobe Arabic" w:cs="Adobe Arabic"/>
          <w:b/>
          <w:bCs/>
          <w:color w:val="538135" w:themeColor="accent6" w:themeShade="BF"/>
          <w:sz w:val="40"/>
          <w:szCs w:val="40"/>
          <w:rtl/>
        </w:rPr>
        <w:t>(عليهم السلام)</w:t>
      </w:r>
      <w:r w:rsidRPr="0064226D">
        <w:rPr>
          <w:rFonts w:ascii="Adobe Arabic" w:eastAsia="Times New Roman" w:hAnsi="Adobe Arabic" w:cs="Adobe Arabic"/>
          <w:b/>
          <w:bCs/>
          <w:color w:val="538135" w:themeColor="accent6" w:themeShade="BF"/>
          <w:sz w:val="40"/>
          <w:szCs w:val="40"/>
          <w:rtl/>
        </w:rPr>
        <w:t>)</w:t>
      </w:r>
      <w:bookmarkEnd w:id="23"/>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أهمّ أدلّة الكتاب على حجّيّة سنّة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أهم الإشكالات التي أوردت على الاستدلالات المذكورة.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يناقش الإشكالات على الاستدلال بالكتاب على حجّيّة سنّة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w:t>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24" w:name="_Toc155869520"/>
      <w:r w:rsidRPr="00465CD4">
        <w:rPr>
          <w:rFonts w:ascii="Adobe Arabic" w:eastAsia="Times New Roman" w:hAnsi="Adobe Arabic" w:cs="Adobe Arabic"/>
          <w:b/>
          <w:bCs/>
          <w:color w:val="996633"/>
          <w:sz w:val="36"/>
          <w:szCs w:val="36"/>
          <w:rtl/>
        </w:rPr>
        <w:lastRenderedPageBreak/>
        <w:t>مقدّمة</w:t>
      </w:r>
      <w:bookmarkEnd w:id="24"/>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ارتبط البحث في سنّة أهل البيت -غالبًا- بالبحث الكلاميّ بين المسلمين حول الإمامة، فنادرًا ما كان يُطرَح بحث مستقلّ حول سنّتهم.</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طُرِح لإثبات إمامتهم السياسيّة والدينيّة للأمّة، أدلّةٌ كثيرة من الكتاب والسنّة، كآية التطهير وأُولي الأمر والمودّة</w:t>
      </w:r>
      <w:r w:rsidR="00CF7297">
        <w:rPr>
          <w:rStyle w:val="FootnoteReference"/>
          <w:rFonts w:ascii="Adobe Arabic" w:eastAsia="Times New Roman" w:hAnsi="Adobe Arabic" w:cs="Adobe Arabic"/>
          <w:color w:val="000000"/>
          <w:sz w:val="32"/>
          <w:szCs w:val="32"/>
          <w:rtl/>
        </w:rPr>
        <w:footnoteReference w:id="122"/>
      </w:r>
      <w:r w:rsidRPr="001609BB">
        <w:rPr>
          <w:rFonts w:ascii="Adobe Arabic" w:eastAsia="Times New Roman" w:hAnsi="Adobe Arabic" w:cs="Adobe Arabic"/>
          <w:color w:val="000000"/>
          <w:sz w:val="32"/>
          <w:szCs w:val="32"/>
          <w:rtl/>
        </w:rPr>
        <w:t>، وحديث الثقلَين والسفينة</w:t>
      </w:r>
      <w:r w:rsidR="00CF7297">
        <w:rPr>
          <w:rStyle w:val="FootnoteReference"/>
          <w:rFonts w:ascii="Adobe Arabic" w:eastAsia="Times New Roman" w:hAnsi="Adobe Arabic" w:cs="Adobe Arabic"/>
          <w:color w:val="000000"/>
          <w:sz w:val="32"/>
          <w:szCs w:val="32"/>
          <w:rtl/>
        </w:rPr>
        <w:footnoteReference w:id="123"/>
      </w:r>
      <w:r w:rsidRPr="001609BB">
        <w:rPr>
          <w:rFonts w:ascii="Adobe Arabic" w:eastAsia="Times New Roman" w:hAnsi="Adobe Arabic" w:cs="Adobe Arabic"/>
          <w:color w:val="000000"/>
          <w:sz w:val="32"/>
          <w:szCs w:val="32"/>
          <w:rtl/>
        </w:rPr>
        <w:t>، وغيرها</w:t>
      </w:r>
      <w:r w:rsidR="00CF7297">
        <w:rPr>
          <w:rStyle w:val="FootnoteReference"/>
          <w:rFonts w:ascii="Adobe Arabic" w:eastAsia="Times New Roman" w:hAnsi="Adobe Arabic" w:cs="Adobe Arabic"/>
          <w:color w:val="000000"/>
          <w:sz w:val="32"/>
          <w:szCs w:val="32"/>
          <w:rtl/>
        </w:rPr>
        <w:footnoteReference w:id="124"/>
      </w:r>
      <w:r w:rsidRPr="001609BB">
        <w:rPr>
          <w:rFonts w:ascii="Adobe Arabic" w:eastAsia="Times New Roman" w:hAnsi="Adobe Arabic" w:cs="Adobe Arabic"/>
          <w:color w:val="000000"/>
          <w:sz w:val="32"/>
          <w:szCs w:val="32"/>
          <w:rtl/>
        </w:rPr>
        <w:t> الكثير.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والمقام هنا لا يسمح باستيعاب جميع الأدلّة المطروحة لإثبات ذلك، فسنقتصر في البحث على دليلَين من الكتاب، ودليل من السنّة الشريفة، لهم مسيس الارتباط بموضوع البحث. وسنُرجئ الكلام في المراد من أهل البيت في الاصطلاح القرآنيّ والنبويّ، إلى نهاية البحث.</w:t>
      </w:r>
    </w:p>
    <w:p w:rsidR="004478EB" w:rsidRDefault="004478EB">
      <w:pPr>
        <w:rPr>
          <w:rFonts w:ascii="Adobe Arabic" w:eastAsia="Times New Roman" w:hAnsi="Adobe Arabic" w:cs="Adobe Arabic"/>
          <w:b/>
          <w:bCs/>
          <w:color w:val="996633"/>
          <w:sz w:val="36"/>
          <w:szCs w:val="36"/>
          <w:rtl/>
        </w:rPr>
      </w:pPr>
      <w:bookmarkStart w:id="25" w:name="_Toc155869521"/>
      <w:r>
        <w:rPr>
          <w:rFonts w:ascii="Adobe Arabic" w:eastAsia="Times New Roman" w:hAnsi="Adobe Arabic" w:cs="Adobe Arabic"/>
          <w:b/>
          <w:bCs/>
          <w:color w:val="996633"/>
          <w:sz w:val="36"/>
          <w:szCs w:val="36"/>
          <w:rtl/>
        </w:rPr>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r w:rsidRPr="00465CD4">
        <w:rPr>
          <w:rFonts w:ascii="Adobe Arabic" w:eastAsia="Times New Roman" w:hAnsi="Adobe Arabic" w:cs="Adobe Arabic"/>
          <w:b/>
          <w:bCs/>
          <w:color w:val="996633"/>
          <w:sz w:val="36"/>
          <w:szCs w:val="36"/>
          <w:rtl/>
        </w:rPr>
        <w:lastRenderedPageBreak/>
        <w:t>الأدلّة من الكتاب العزيز</w:t>
      </w:r>
      <w:bookmarkEnd w:id="25"/>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آية التطهير</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وهي قوله تعالى: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وَيُطَهِّرَكُمۡ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تَطۡهِيرا﴾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25"/>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مفردات الآية:</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إنّما: أداة تفيد الحصر عند جمهور العلماء</w:t>
      </w:r>
      <w:r w:rsidR="00CF7297">
        <w:rPr>
          <w:rStyle w:val="FootnoteReference"/>
          <w:rFonts w:ascii="Adobe Arabic" w:eastAsia="Times New Roman" w:hAnsi="Adobe Arabic" w:cs="Adobe Arabic"/>
          <w:color w:val="000000"/>
          <w:sz w:val="32"/>
          <w:szCs w:val="32"/>
          <w:rtl/>
        </w:rPr>
        <w:footnoteReference w:id="126"/>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الرجس: قال البخاريّ القنوجيّ في تفسير فتح البيان "والمراد بالرجس: الإثم والذنب المدنّسان للأعراض، الحاصلان بسبب ترك ما أمر الله به، وفعل ما نهى عنه، فيدخل في ذلك كلّ ما ليس فيه رضا الله. وقيل: الرجس: الشكّ، وقيل: السوء، وقيل: عمل الشيطان، والعموم أَوْلى"</w:t>
      </w:r>
      <w:r w:rsidR="00CF7297">
        <w:rPr>
          <w:rStyle w:val="FootnoteReference"/>
          <w:rFonts w:ascii="Adobe Arabic" w:eastAsia="Times New Roman" w:hAnsi="Adobe Arabic" w:cs="Adobe Arabic"/>
          <w:color w:val="000000"/>
          <w:sz w:val="32"/>
          <w:szCs w:val="32"/>
          <w:rtl/>
        </w:rPr>
        <w:footnoteReference w:id="127"/>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وقال في تفسير الميزان: "والرجس -بالكسر فالسكون- صفة من الرجاسة، وهي القذارة، والقذارة هيئة في الشيء توجب التجنُّب والتنفُّر منها، وتكون بحسب ظاهر الشيء، كرجاسة الخنزير، قال تعالى: </w:t>
      </w:r>
      <w:r w:rsidRPr="008711A0">
        <w:rPr>
          <w:rFonts w:ascii="Traditional Arabic" w:eastAsia="Times New Roman" w:hAnsi="Traditional Arabic" w:cs="Traditional Arabic"/>
          <w:b/>
          <w:bCs/>
          <w:color w:val="538135" w:themeColor="accent6" w:themeShade="BF"/>
          <w:sz w:val="32"/>
          <w:szCs w:val="32"/>
          <w:rtl/>
        </w:rPr>
        <w:t>﴿أَو</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لَحۡمَ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خِنزِير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فَإِنَّهُۥ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رِجۡسٌ﴾</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28"/>
      </w:r>
      <w:r w:rsidRPr="001609BB">
        <w:rPr>
          <w:rFonts w:ascii="Adobe Arabic" w:eastAsia="Times New Roman" w:hAnsi="Adobe Arabic" w:cs="Adobe Arabic"/>
          <w:color w:val="000000"/>
          <w:sz w:val="32"/>
          <w:szCs w:val="32"/>
          <w:rtl/>
        </w:rPr>
        <w:t>، وبحسب باطنه -وهو الرجاسة والقذارة المعنويّة- كالشرك والكفر وأثر العمل السيّئ، قال تعالى:</w:t>
      </w:r>
      <w:r w:rsidRPr="008711A0">
        <w:rPr>
          <w:rFonts w:ascii="Traditional Arabic" w:eastAsia="Times New Roman" w:hAnsi="Traditional Arabic" w:cs="Traditional Arabic"/>
          <w:b/>
          <w:bCs/>
          <w:color w:val="538135" w:themeColor="accent6" w:themeShade="BF"/>
          <w:sz w:val="32"/>
          <w:szCs w:val="32"/>
          <w:rtl/>
        </w:rPr>
        <w:t> ﴿وَأَمَّا ٱلَّذِينَ فِي قُلُوبِهِم مَّرَض فَزَادَت</w:t>
      </w:r>
      <w:r w:rsidRPr="008711A0">
        <w:rPr>
          <w:rFonts w:ascii="Traditional Arabic" w:eastAsia="Times New Roman" w:hAnsi="Traditional Arabic" w:cs="Traditional Arabic" w:hint="cs"/>
          <w:b/>
          <w:bCs/>
          <w:color w:val="538135" w:themeColor="accent6" w:themeShade="BF"/>
          <w:sz w:val="32"/>
          <w:szCs w:val="32"/>
          <w:rtl/>
        </w:rPr>
        <w:t>ۡهُمۡ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رِجۡسًا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رِجۡسِهِمۡ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وَمَاتُواْ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كَٰفِرُونَ﴾</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29"/>
      </w:r>
      <w:r w:rsidRPr="001609BB">
        <w:rPr>
          <w:rFonts w:ascii="Adobe Arabic" w:eastAsia="Times New Roman" w:hAnsi="Adobe Arabic" w:cs="Adobe Arabic"/>
          <w:color w:val="000000"/>
          <w:sz w:val="32"/>
          <w:szCs w:val="32"/>
          <w:rtl/>
        </w:rPr>
        <w:t>، وقال: </w:t>
      </w:r>
      <w:r w:rsidRPr="008711A0">
        <w:rPr>
          <w:rFonts w:ascii="Traditional Arabic" w:eastAsia="Times New Roman" w:hAnsi="Traditional Arabic" w:cs="Traditional Arabic"/>
          <w:b/>
          <w:bCs/>
          <w:color w:val="538135" w:themeColor="accent6" w:themeShade="BF"/>
          <w:sz w:val="32"/>
          <w:szCs w:val="32"/>
          <w:rtl/>
        </w:rPr>
        <w:t>﴿فَمَن يُرِدِ ٱللَّهُ أَن يَه</w:t>
      </w:r>
      <w:r w:rsidRPr="008711A0">
        <w:rPr>
          <w:rFonts w:ascii="Traditional Arabic" w:eastAsia="Times New Roman" w:hAnsi="Traditional Arabic" w:cs="Traditional Arabic" w:hint="cs"/>
          <w:b/>
          <w:bCs/>
          <w:color w:val="538135" w:themeColor="accent6" w:themeShade="BF"/>
          <w:sz w:val="32"/>
          <w:szCs w:val="32"/>
          <w:rtl/>
        </w:rPr>
        <w:t>ۡدِيَهُۥ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يَشۡرَحۡ</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صَدۡرَهُۥ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لِلۡإِسۡلَٰمِۖ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يُرِدۡ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يُضِلَّهُۥ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يَجۡعَلۡ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صَدۡرَهُۥ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ضَيِّقًا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حَرَجا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يَصَّعَّدُ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ٱلس</w:t>
      </w:r>
      <w:r w:rsidRPr="008711A0">
        <w:rPr>
          <w:rFonts w:ascii="Traditional Arabic" w:eastAsia="Times New Roman" w:hAnsi="Traditional Arabic" w:cs="Traditional Arabic"/>
          <w:b/>
          <w:bCs/>
          <w:color w:val="538135" w:themeColor="accent6" w:themeShade="BF"/>
          <w:sz w:val="32"/>
          <w:szCs w:val="32"/>
          <w:rtl/>
        </w:rPr>
        <w:t>َّمَآءِ</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كَذَٰلِكَ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يَجۡعَلُ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يُؤۡمِنُونَ﴾</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30"/>
      </w:r>
      <w:r w:rsidRPr="001609BB">
        <w:rPr>
          <w:rFonts w:ascii="Adobe Arabic" w:eastAsia="Times New Roman" w:hAnsi="Adobe Arabic" w:cs="Adobe Arabic"/>
          <w:color w:val="000000"/>
          <w:sz w:val="32"/>
          <w:szCs w:val="32"/>
          <w:rtl/>
        </w:rPr>
        <w:t>.</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وأيّا ما كان، فهو إدراك نفسانيّ وأثر شعوريّ من تعلُّق القلب بالاعتقاد الباطل أو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العمل السيّئ، وإذهاب الرجس -واللام فيه للجنس- إزالة كلّ هيئة خبيثة في النفس تخطئ حقّ الاعتقاد والعمل، فتنطبق على العصمة الإلهيّة، التي هي صورة علميّة نفسانيّة تحفظ الإنسان من باطل الاعتقاد وسيّئ العمل"</w:t>
      </w:r>
      <w:r w:rsidR="00CF7297">
        <w:rPr>
          <w:rStyle w:val="FootnoteReference"/>
          <w:rFonts w:ascii="Adobe Arabic" w:eastAsia="Times New Roman" w:hAnsi="Adobe Arabic" w:cs="Adobe Arabic"/>
          <w:color w:val="000000"/>
          <w:sz w:val="32"/>
          <w:szCs w:val="32"/>
          <w:rtl/>
        </w:rPr>
        <w:footnoteReference w:id="131"/>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أهلَ البيت: نَصَبَه على النداء أو المدح. وكلمة أهل البيت، سواء كانت لمجرّد الاختصاص أو مدحًا أو نداءً،تدلّ على اختصاص إذهاب الرجس والتطهير بالمخاطَبين، بقوله: "عنكم"، ففي الآية حقيقة قصران: قصر الإرادة في إذهاب الرجس والتطهير، وقصر إذهاب الرجس والتطهير بأهل البيت</w:t>
      </w:r>
      <w:r w:rsidR="00CF7297">
        <w:rPr>
          <w:rStyle w:val="FootnoteReference"/>
          <w:rFonts w:ascii="Adobe Arabic" w:eastAsia="Times New Roman" w:hAnsi="Adobe Arabic" w:cs="Adobe Arabic"/>
          <w:color w:val="000000"/>
          <w:sz w:val="32"/>
          <w:szCs w:val="32"/>
          <w:rtl/>
        </w:rPr>
        <w:footnoteReference w:id="132"/>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يطهّركم تطهيرًا: تأكيد بالمصدر على إزالة أثر الرجس، وفيه إشارة لطيفة أنّ الرجس قد يزول عينًا ولا يطهر المحلّ، فقوله تعالى: </w:t>
      </w:r>
      <w:r w:rsidRPr="008711A0">
        <w:rPr>
          <w:rFonts w:ascii="Traditional Arabic" w:eastAsia="Times New Roman" w:hAnsi="Traditional Arabic" w:cs="Traditional Arabic"/>
          <w:b/>
          <w:bCs/>
          <w:color w:val="538135" w:themeColor="accent6" w:themeShade="BF"/>
          <w:sz w:val="32"/>
          <w:szCs w:val="32"/>
          <w:rtl/>
        </w:rPr>
        <w:t>﴿لِيُذ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1609BB">
        <w:rPr>
          <w:rFonts w:ascii="Adobe Arabic" w:eastAsia="Times New Roman" w:hAnsi="Adobe Arabic" w:cs="Adobe Arabic" w:hint="cs"/>
          <w:color w:val="000000"/>
          <w:sz w:val="32"/>
          <w:szCs w:val="32"/>
          <w:rtl/>
        </w:rPr>
        <w:t> أي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يزيل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عنكم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الذنوب</w:t>
      </w:r>
      <w:r w:rsidR="00CF7297">
        <w:rPr>
          <w:rStyle w:val="FootnoteReference"/>
          <w:rFonts w:ascii="Adobe Arabic" w:eastAsia="Times New Roman" w:hAnsi="Adobe Arabic" w:cs="Adobe Arabic"/>
          <w:color w:val="000000"/>
          <w:sz w:val="32"/>
          <w:szCs w:val="32"/>
          <w:rtl/>
        </w:rPr>
        <w:footnoteReference w:id="133"/>
      </w:r>
      <w:r w:rsidRPr="001609BB">
        <w:rPr>
          <w:rFonts w:ascii="Adobe Arabic" w:eastAsia="Times New Roman" w:hAnsi="Adobe Arabic" w:cs="Adobe Arabic"/>
          <w:color w:val="000000"/>
          <w:sz w:val="32"/>
          <w:szCs w:val="32"/>
          <w:rtl/>
        </w:rPr>
        <w:t> و</w:t>
      </w:r>
      <w:r w:rsidRPr="008711A0">
        <w:rPr>
          <w:rFonts w:ascii="Traditional Arabic" w:eastAsia="Times New Roman" w:hAnsi="Traditional Arabic" w:cs="Traditional Arabic"/>
          <w:b/>
          <w:bCs/>
          <w:color w:val="538135" w:themeColor="accent6" w:themeShade="BF"/>
          <w:sz w:val="32"/>
          <w:szCs w:val="32"/>
          <w:rtl/>
        </w:rPr>
        <w:t>﴿وَيُطَهِّرَكُم</w:t>
      </w:r>
      <w:r w:rsidRPr="008711A0">
        <w:rPr>
          <w:rFonts w:ascii="Traditional Arabic" w:eastAsia="Times New Roman" w:hAnsi="Traditional Arabic" w:cs="Traditional Arabic" w:hint="cs"/>
          <w:b/>
          <w:bCs/>
          <w:color w:val="538135" w:themeColor="accent6" w:themeShade="BF"/>
          <w:sz w:val="32"/>
          <w:szCs w:val="32"/>
          <w:rtl/>
        </w:rPr>
        <w:t>ۡ﴾</w:t>
      </w:r>
      <w:r w:rsidRPr="001609BB">
        <w:rPr>
          <w:rFonts w:ascii="Adobe Arabic" w:eastAsia="Times New Roman" w:hAnsi="Adobe Arabic" w:cs="Adobe Arabic" w:hint="cs"/>
          <w:color w:val="000000"/>
          <w:sz w:val="32"/>
          <w:szCs w:val="32"/>
          <w:rtl/>
        </w:rPr>
        <w:t> بإزالة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أثرها</w:t>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تقريب الاستدلال بالآية: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المراد بإذهاب الرجس هو نفي سببه تكوينًا، لا إذهابه بعد وقوعه، وإلّا لم يكن معنى لحصر نفي الرجس والتطهير بجماعة معيّنة، فإزالة أثر الذنب بعد وقوعه بالتوبة عامٌّ للمكلّفين جميعًا.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بناءً على ما ذُكِر، فإذهاب الرجس في الآية ملازمٌ للعصمة من الذنوب جميعًا، كما هو مقتضى نفي جنس الرجس في الآية الكريمة. وهذا كلّه مستند على كون الإرادة في الآية تكوينيّة، لا تشريعيّة. ويدلّ على ذلك قرائن شتّى، على رأسها: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أنّ الأوامر والنواهي الشرعيّة المفترضة بناءً على كون الإرادة تشريعيّة ليست مختصّة بـ"أهل البيت"، أيّا كان المراد منهم، بل هي عامّة لجميع المكلّفين، فلا معنى لحصر إذهاب الرجس المبتني على هذه الأوامر والنواهي، بهم في الآية.</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فإذا ثبت أنّهم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مطهَّرون عن أنواع الذنوب جميعًا، وأنّهم معصومون بلطف إلهيّ خاصّ بهم، فقد ثبت أنّ كلّ ما يصدر عنهم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مِن قول أو فعل أو تقرير، فهو حجّة يلزم المسلمون اتّباعه، اللهم إلّا ما ثبت بالدليل اختصاصه بهم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3. الإشكال على الاستدلال بالآية الكريمة</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فإن قيل: إنّ المراد بقرينة السياق ما توجّه في الآيات السابقة إلى نساء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من التشديد في التكاليف، بدءًا من قوله تعالى: </w:t>
      </w:r>
      <w:r w:rsidRPr="008711A0">
        <w:rPr>
          <w:rFonts w:ascii="Traditional Arabic" w:eastAsia="Times New Roman" w:hAnsi="Traditional Arabic" w:cs="Traditional Arabic"/>
          <w:b/>
          <w:bCs/>
          <w:color w:val="538135" w:themeColor="accent6" w:themeShade="BF"/>
          <w:sz w:val="32"/>
          <w:szCs w:val="32"/>
          <w:rtl/>
        </w:rPr>
        <w:t>﴿يَٰنِسَآءَ ٱلنَّبِيِّ مَن يَأ</w:t>
      </w:r>
      <w:r w:rsidRPr="008711A0">
        <w:rPr>
          <w:rFonts w:ascii="Traditional Arabic" w:eastAsia="Times New Roman" w:hAnsi="Traditional Arabic" w:cs="Traditional Arabic" w:hint="cs"/>
          <w:b/>
          <w:bCs/>
          <w:color w:val="538135" w:themeColor="accent6" w:themeShade="BF"/>
          <w:sz w:val="32"/>
          <w:szCs w:val="32"/>
          <w:rtl/>
        </w:rPr>
        <w:t>ۡتِ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مِنكُنَّ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بِفَٰحِشَة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مُّبَيِّنَة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يُضَٰعَفۡ</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ٱلۡعَذَابُ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ضِعۡفَيۡنِۚ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وَكَانَ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يَسِيرا﴾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34"/>
      </w:r>
      <w:r w:rsidRPr="001609BB">
        <w:rPr>
          <w:rFonts w:ascii="Adobe Arabic" w:eastAsia="Times New Roman" w:hAnsi="Adobe Arabic" w:cs="Adobe Arabic"/>
          <w:color w:val="000000"/>
          <w:sz w:val="32"/>
          <w:szCs w:val="32"/>
          <w:rtl/>
        </w:rPr>
        <w:t>، ومعاملتهنّ في ذلك معاملة خاصّة، نظرًا لصلتهنّ السببيّة به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كما في قوله تعالى: </w:t>
      </w:r>
      <w:r w:rsidRPr="008711A0">
        <w:rPr>
          <w:rFonts w:ascii="Traditional Arabic" w:eastAsia="Times New Roman" w:hAnsi="Traditional Arabic" w:cs="Traditional Arabic"/>
          <w:b/>
          <w:bCs/>
          <w:color w:val="538135" w:themeColor="accent6" w:themeShade="BF"/>
          <w:sz w:val="32"/>
          <w:szCs w:val="32"/>
          <w:rtl/>
        </w:rPr>
        <w:t>﴿يَٰنِسَآءَ ٱلنَّبِيِّ لَس</w:t>
      </w:r>
      <w:r w:rsidRPr="008711A0">
        <w:rPr>
          <w:rFonts w:ascii="Traditional Arabic" w:eastAsia="Times New Roman" w:hAnsi="Traditional Arabic" w:cs="Traditional Arabic" w:hint="cs"/>
          <w:b/>
          <w:bCs/>
          <w:color w:val="538135" w:themeColor="accent6" w:themeShade="BF"/>
          <w:sz w:val="32"/>
          <w:szCs w:val="32"/>
          <w:rtl/>
        </w:rPr>
        <w:t>ۡتُنَّ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كَأَحَد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ٱلنِّسَآءِ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ٱتَّقَيۡتُنَّۚ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تَخۡضَعۡنَ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بِٱلۡقَوۡلِ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فَيَطۡمَعَ</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قَلۡبِهِۦ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مَرَض</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وَقُلۡنَ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قَوۡلا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مَّعۡرُوفا﴾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35"/>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وعلى هذا، يصبح معنى الآية -كما قرّره الفخر الرازيّ- أنّ الله لَيْسَ هو الْمُنْتَفِع بِتَكْلِيفِكُنّ،َ وَلَا تَنْفَعْنَ اللَّهَ فِي مَا تَأْتِينَ بِهِ، وَإِنَّمَا نَفْعُهُ لَكُنَّ، وَأَمْرُ</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تَعَالَى إِيَّاكُنَّ لِمَصْلَحَتِكُنَّ</w:t>
      </w:r>
      <w:r w:rsidR="00CF7297">
        <w:rPr>
          <w:rStyle w:val="FootnoteReference"/>
          <w:rFonts w:ascii="Adobe Arabic" w:eastAsia="Times New Roman" w:hAnsi="Adobe Arabic" w:cs="Adobe Arabic"/>
          <w:color w:val="000000"/>
          <w:sz w:val="32"/>
          <w:szCs w:val="32"/>
          <w:rtl/>
        </w:rPr>
        <w:footnoteReference w:id="136"/>
      </w:r>
      <w:hyperlink r:id="rId11" w:anchor="footnote-238" w:history="1"/>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الجواب:</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أوّلًا: إنّ سياق الآيات السابقة واللاحقة يصلح كقرينة لو تمّ أمران: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أوّلهما: كون هذا المقطع المختصّ بإذهاب الرجس من الآية -أي قوله تعالى: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وَيُطَهِّرَكُمۡ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تَطۡهِيرا﴾</w:t>
      </w:r>
      <w:r w:rsidRPr="001609BB">
        <w:rPr>
          <w:rFonts w:ascii="Adobe Arabic" w:eastAsia="Times New Roman" w:hAnsi="Adobe Arabic" w:cs="Adobe Arabic"/>
          <w:color w:val="000000"/>
          <w:sz w:val="32"/>
          <w:szCs w:val="32"/>
          <w:rtl/>
        </w:rPr>
        <w:t>- نازلًا في الوقت نفسه مع أوّل الآية التي وضع فيها وبقيّة الآيات الأخرى. والأمر ليس كذلك؛ إذ سيوافيك في روايات تفسير مصطلح "أهل البيت" من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أنّ هذا المقطع نزل منفردًا عن بقيّة الآيات، ووضعه في هذه الآية وبين بقيّة الآيات توقيفيّ وفق الترتيب الذي أمر به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ولا دلالة فيه على المعنى المستفاد من السياق.</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ثانيهما: عدم ورود النصّ من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تفسير المراد من أهل البيت؛ إذ مع وروده، لا معنى للتمسّك بهذه القرينة الظنّيّة. وهل هو إلّا اجتهاد في مقابل النصّ؟!</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والحال أنّ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-كما سيأتي- حَصَرَ "أهل البيت" في جماعةٍ خاصّة، هم أصحاب الكساء.</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ثانياً: إنّ تذكير الضمير في قوله تعالى: "عنكم" يقتضي -على أقلّ تقدير- مشاركة غير نساء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معهنّ، ليصحّ توجيه الخطاب، كما اعترف به الفخر الرازيّ نفسه.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وعلى هذا، فالمشارِك إمّا أن يكون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وحده، أو أقرباؤه، أو هو وأقرباؤه. وعلى التقادير كلّها، هو عدول من الخطاب السابق إلى خطاب جماعة آخرين، فيبطل الاستدلال بالسياق؛ لكون المخاطبين -على كلّ حال- في المقطع المستدَلّ به، غير المخاطَبين في الآيات السابقة واللاحقة.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ثالثًا: إنّ سياق المدح والامتنان في الآية، وتأكيد التطهير بالإتيان بالمفعول، يناسب الإرادة التكوينيّة، بل صريح روايات النزول الآتية في دعاء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لأهل بيته بعد نزول المقطع المذكور من الآية بإذهاب الرجس عنهم لا يتناسب إلّا مع الإرادة التكوينيّة الملازمة للعصمة.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ويبقى الكلام بعدما ظهر دلالة الآية على العصمة من الذنوب، في استفادة العصمة عن الخطأ منها. وهو يتوقّف على شمول الرجس للخطأ في كلّيّات الشريعة وتطبيقاتها؛ فإن بان شموله فهو، وإلّا ففي باقي الأدلّة غنى وكفاية.</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آية أولي الأمر</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وهي قوله تعالى: </w:t>
      </w:r>
      <w:r w:rsidRPr="008711A0">
        <w:rPr>
          <w:rFonts w:ascii="Traditional Arabic" w:eastAsia="Times New Roman" w:hAnsi="Traditional Arabic" w:cs="Traditional Arabic"/>
          <w:b/>
          <w:bCs/>
          <w:color w:val="538135" w:themeColor="accent6" w:themeShade="BF"/>
          <w:sz w:val="32"/>
          <w:szCs w:val="32"/>
          <w:rtl/>
        </w:rPr>
        <w:t>﴿يَٰٓأَيُّهَا ٱلَّذِينَ ءَامَنُوٓاْ أَطِيعُواْ ٱللَّهَ وَأَطِيعُواْ ٱلرَّسُولَ وَأُوْلِي ٱل</w:t>
      </w:r>
      <w:r w:rsidRPr="008711A0">
        <w:rPr>
          <w:rFonts w:ascii="Traditional Arabic" w:eastAsia="Times New Roman" w:hAnsi="Traditional Arabic" w:cs="Traditional Arabic" w:hint="cs"/>
          <w:b/>
          <w:bCs/>
          <w:color w:val="538135" w:themeColor="accent6" w:themeShade="BF"/>
          <w:sz w:val="32"/>
          <w:szCs w:val="32"/>
          <w:rtl/>
        </w:rPr>
        <w:t>ۡأَمۡرِ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تَنَٰزَعۡتُمۡ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شَيۡء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فَرُدُّوهُ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وَٱلرَّسُولِ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كُنتُمۡ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تُؤۡمِنُونَ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وَٱلۡيَوۡمِ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ٱلۡأٓخِرِۚ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ذَٰلِكَ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وَأَحۡسَنُ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37"/>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وتقريب الاستدلال بالآية -كما قرّره الفخر الرازيّ ما يلي-: "والدليل عَلَى ذَلِكَ أَنَّ اللَّه تَعَالَى أَمْرَ بِطَاعَةِ أُولِي الْأَمْرِ عَلَى سَبِيلِ الْجَزْمِ، فِي هَذِ</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الْآيَةِ، وَمَنْ أَمَرَ اللَّه بِطَاعَتِهِ عَلَى سَبِيلِ الْجَزْمِ وَالْقَطْعِ، لَا بُدَّ وَأَنْ يَكُونَ مَعْصُومًا عَنِ الْخَطَأِ؛ إِذْ لَوْ لَمْ يَكُنْ مَعْصُومًا عَنِ الْخَطَأِ، كَانَ بِتَقْدِيرِ إِقْدَامِهِ عَلَى الْخَطَأِ، يَكُونُ قَدْ أَمَرَ اللَّه بِمُتَابَعَتِهِ، فَيَكُونُ ذَلِكَ أَمْرًا بِفِعْلِ ذَلِكَ الْخَطَأِ، وَالْخَطَأُ -لِكَوْنِهِ خَطَأً- مَنْهِيٌّ عَنْهُ، فَهَذَا يُفْضِي إِلَى اجْتِمَاعِ الْأَمْرِ وَالنَّهْيِ فِي الْفِعْلِ الْوَاحِدِ بِالِاعْتِبَارِ الْوَاحِدِ، وَإِنَّهُ مُحَالٌ؛ فَثَبَتَ أَنَّ اللَّه تَعَالَى أَمَرَ بِطَاعَةِ أُولِي الْأَمْرِ عَلَى سَبِيلِ الْجَزْمِ، وَثَبَتَ أَنَّ كُلَّ مَنْ أَمَرَ اللَّه بِطَاعَتِهِ عَلَى سَبِيلِ الْجَزْمِ، وَجَبَ أَنْ يَكُونَ مَعْصُومًا عَنِ الْخَطَأِ، فَثَبَتَ قَطْعًا أَنَّ أُولِي الْأَمْرِ الْمَذْكُورِ فِي هَذِ</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الْآيَةِ، لَا بُدَّ وَأَنْ يَكُونَ مَعْصُومًا"</w:t>
      </w:r>
      <w:r w:rsidR="00CF7297">
        <w:rPr>
          <w:rStyle w:val="FootnoteReference"/>
          <w:rFonts w:ascii="Adobe Arabic" w:eastAsia="Times New Roman" w:hAnsi="Adobe Arabic" w:cs="Adobe Arabic"/>
          <w:color w:val="000000"/>
          <w:sz w:val="32"/>
          <w:szCs w:val="32"/>
          <w:rtl/>
        </w:rPr>
        <w:footnoteReference w:id="138"/>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أمّا ما ذُكِر من الإشكالات على الاستدلال بالآية على حجّيّة سنّة أهل البيت،فنذكر أحد أهمّها مع دراسته:</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أُولي الأمر هم أهل الحلّ والعقد: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ما هو مقتضى الرأي الشائع في تفسير الآية، مِن كَوْن أُولي الأمر هم جماعة أهل الحلّ والعقد، أو الأمراء، أو قادة السرايا، وما شاكل من الطوائف غير المعصومة التي قد تناط بها مسؤوليّة إدارة الأمور في الأمّة.</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ووجوب طاعة هؤلاء -وفق هذا الرأي- هو من باب نظم الأمر في الأمّة وحفظ وحدتها، وليس لعصمتهم، فإن أَمَروا بما يخالف الكتاب والسنّة، فلا يجوز ذلك منهم، ولا ينفذ حكمهم، لقول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«لا طاعة لمخلوق في معصية الخالق». وقد روى هذا المعنى الفريقان، وبه يُقَيَّد إطلاقُ الآية. وأمّا الخطأ والغلط، فإن عُلِم به رُدَّ إلى الحقّ، وهو حُكم الكتاب والسنّة، وإن احتُمِل خطؤه، نُفِّذَ فيه حُكمه، كما في ما عُلِم فيه عدم خطئه، ولا بأس بوجوب القبول وافتراض الطاعة في ما يخالف الواقع من هذا النوع من الأوامر؛ لأنّ مصلحة حفظ الوحدة في الأمّة وبقاء السؤدد والأبّهة تُتَدارَك بها هذه المخالفة</w:t>
      </w:r>
      <w:r w:rsidR="00CF7297">
        <w:rPr>
          <w:rStyle w:val="FootnoteReference"/>
          <w:rFonts w:ascii="Adobe Arabic" w:eastAsia="Times New Roman" w:hAnsi="Adobe Arabic" w:cs="Adobe Arabic"/>
          <w:color w:val="000000"/>
          <w:sz w:val="32"/>
          <w:szCs w:val="32"/>
          <w:rtl/>
        </w:rPr>
        <w:footnoteReference w:id="139"/>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lastRenderedPageBreak/>
        <w:t>الجواب:</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أوّلًا: إنّ ما ذُكِر من جعل الشارع الحجّيّة لغير المعصوم ممكنٌ في نفسه، بل واقعٌ أيضًا، كالذي جعله من حجّيّة قادة الجند وولاة المدن والمناطق، وكجعل الحجّيّة للحكم الظاهريّ عند امتناع إمكان الوصول للحكم الواقعيّ.</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لكنّ كون الأمر ممكنًا في نفسه وقابلًا للتحقّق، لا يغيّر من ظاهر الآية شيئًا، وليس كافيًا في نفسه لتقييد إطلاقها، فالآية تدلّ على افتراض طاعة أُولي الأمر هؤلاء، ولم تقيّده بقيد ولا شرط، وليس في الآيات القرآنيّة الأخرى ما يقيّد الآية في مدلولها، حتّى يعود معنى قوله: </w:t>
      </w:r>
      <w:r w:rsidRPr="008711A0">
        <w:rPr>
          <w:rFonts w:ascii="Traditional Arabic" w:eastAsia="Times New Roman" w:hAnsi="Traditional Arabic" w:cs="Traditional Arabic"/>
          <w:b/>
          <w:bCs/>
          <w:color w:val="538135" w:themeColor="accent6" w:themeShade="BF"/>
          <w:sz w:val="32"/>
          <w:szCs w:val="32"/>
          <w:rtl/>
        </w:rPr>
        <w:t>﴿وَأَطِيعُواْ ٱلرَّسُولَ وَأُوْلِي ٱل</w:t>
      </w:r>
      <w:r w:rsidRPr="008711A0">
        <w:rPr>
          <w:rFonts w:ascii="Traditional Arabic" w:eastAsia="Times New Roman" w:hAnsi="Traditional Arabic" w:cs="Traditional Arabic" w:hint="cs"/>
          <w:b/>
          <w:bCs/>
          <w:color w:val="538135" w:themeColor="accent6" w:themeShade="BF"/>
          <w:sz w:val="32"/>
          <w:szCs w:val="32"/>
          <w:rtl/>
        </w:rPr>
        <w:t>ۡأَمۡرِ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مِنكُمۡۖ﴾</w:t>
      </w:r>
      <w:r w:rsidRPr="001609BB">
        <w:rPr>
          <w:rFonts w:ascii="Adobe Arabic" w:eastAsia="Times New Roman" w:hAnsi="Adobe Arabic" w:cs="Adobe Arabic" w:hint="cs"/>
          <w:color w:val="000000"/>
          <w:sz w:val="32"/>
          <w:szCs w:val="32"/>
          <w:rtl/>
        </w:rPr>
        <w:t> إلى</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مثل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قولنا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وأطيعوا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أُولي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الأمر</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من</w:t>
      </w:r>
      <w:r w:rsidRPr="001609BB">
        <w:rPr>
          <w:rFonts w:ascii="Adobe Arabic" w:eastAsia="Times New Roman" w:hAnsi="Adobe Arabic" w:cs="Adobe Arabic"/>
          <w:color w:val="000000"/>
          <w:sz w:val="32"/>
          <w:szCs w:val="32"/>
          <w:rtl/>
        </w:rPr>
        <w:t>كم فيما لم يأمروا بمعصية أو لم تعلموا بخطئهم، فإن أمروكم بمعصية فلا طاعة لهم عليكم، وإن علمتم خطأهم فقوّموهم بالردّ إلى الكتاب والسنة. هذا، مع أنّ الله سبحانه أبان ما هو أوضح من هذا القيد في ما هو دون هذه الطاعة المفترضة، كقوله في الوالِدين: </w:t>
      </w:r>
      <w:r w:rsidRPr="008711A0">
        <w:rPr>
          <w:rFonts w:ascii="Traditional Arabic" w:eastAsia="Times New Roman" w:hAnsi="Traditional Arabic" w:cs="Traditional Arabic"/>
          <w:b/>
          <w:bCs/>
          <w:color w:val="538135" w:themeColor="accent6" w:themeShade="BF"/>
          <w:sz w:val="32"/>
          <w:szCs w:val="32"/>
          <w:rtl/>
        </w:rPr>
        <w:t>﴿وَوَصَّي</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ٱل</w:t>
      </w:r>
      <w:r w:rsidRPr="008711A0">
        <w:rPr>
          <w:rFonts w:ascii="Traditional Arabic" w:eastAsia="Times New Roman" w:hAnsi="Traditional Arabic" w:cs="Traditional Arabic" w:hint="cs"/>
          <w:b/>
          <w:bCs/>
          <w:color w:val="538135" w:themeColor="accent6" w:themeShade="BF"/>
          <w:sz w:val="32"/>
          <w:szCs w:val="32"/>
          <w:rtl/>
        </w:rPr>
        <w:t>ۡإِنسَٰنَ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بِوَٰلِدَيۡهِ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حُسۡناۖ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جَٰهَدَاكَ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لِتُشۡرِكَ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لَيۡسَ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تُطِعۡهُمَآۚ﴾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40"/>
      </w:r>
      <w:r w:rsidRPr="001609BB">
        <w:rPr>
          <w:rFonts w:ascii="Adobe Arabic" w:eastAsia="Times New Roman" w:hAnsi="Adobe Arabic" w:cs="Adobe Arabic"/>
          <w:color w:val="000000"/>
          <w:sz w:val="32"/>
          <w:szCs w:val="32"/>
          <w:rtl/>
        </w:rPr>
        <w:t>، فما باله لم يُظهر شيئًا من هذه القيود في آية ترتبط بأحد أخطر شؤون الأمّة، وهي الإمامة؟!</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ثانيًا: إنّ الآية جمع فيها بين الرسول وأُولي الأمر، وذكر لهما معًا طاعة واحدة، فقال: </w:t>
      </w:r>
      <w:r w:rsidRPr="008711A0">
        <w:rPr>
          <w:rFonts w:ascii="Traditional Arabic" w:eastAsia="Times New Roman" w:hAnsi="Traditional Arabic" w:cs="Traditional Arabic"/>
          <w:b/>
          <w:bCs/>
          <w:color w:val="538135" w:themeColor="accent6" w:themeShade="BF"/>
          <w:sz w:val="32"/>
          <w:szCs w:val="32"/>
          <w:rtl/>
        </w:rPr>
        <w:t>﴿وَأَطِيعُواْ ٱلرَّسُولَ وَأُوْلِي ٱل</w:t>
      </w:r>
      <w:r w:rsidRPr="008711A0">
        <w:rPr>
          <w:rFonts w:ascii="Traditional Arabic" w:eastAsia="Times New Roman" w:hAnsi="Traditional Arabic" w:cs="Traditional Arabic" w:hint="cs"/>
          <w:b/>
          <w:bCs/>
          <w:color w:val="538135" w:themeColor="accent6" w:themeShade="BF"/>
          <w:sz w:val="32"/>
          <w:szCs w:val="32"/>
          <w:rtl/>
        </w:rPr>
        <w:t>ۡأَمۡرِ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مِنكُمۡۖ﴾</w:t>
      </w:r>
      <w:r w:rsidRPr="001609BB">
        <w:rPr>
          <w:rFonts w:ascii="Adobe Arabic" w:eastAsia="Times New Roman" w:hAnsi="Adobe Arabic" w:cs="Adobe Arabic"/>
          <w:color w:val="000000"/>
          <w:sz w:val="32"/>
          <w:szCs w:val="32"/>
          <w:rtl/>
        </w:rPr>
        <w:t>، واللَّفْظَةُ الْوَاحِدَةُ لَا يَجُوزُ أَنْ تَكُونَ مُطْلَقَةً وَمَشْرُوطَةً مَعًا؛ فَلَمَّا كَانَتْ هَذِهِ اللَّفْظَةُ مُطْلَقَةً فِي حَقِّ الرَّسُولِ، وَجَبَ أَنْ تَكُونَ مُطْلَقَةً فِي حَقِّ أُولِي الْأَمْرِ. ولا يجوز على الرسول أن يأمر بمعصية أو يغلط في حكم؛ فلو جاز شيءٌ من ذلك على أُولي الأمر، لم يَسَعْ إلَّا أن يذكر القيد الوارد عليهم. ومعه، لا مناص من أخذ الآية مطلقةً من غير أيّ تقييد، ولازمُه اعتبار العصمة في جانب أُولي الأمر كما اعتُبِر في جانب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من غير فرق</w:t>
      </w:r>
      <w:r w:rsidR="00CF7297">
        <w:rPr>
          <w:rStyle w:val="FootnoteReference"/>
          <w:rFonts w:ascii="Adobe Arabic" w:eastAsia="Times New Roman" w:hAnsi="Adobe Arabic" w:cs="Adobe Arabic"/>
          <w:color w:val="000000"/>
          <w:sz w:val="32"/>
          <w:szCs w:val="32"/>
          <w:rtl/>
        </w:rPr>
        <w:footnoteReference w:id="141"/>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وخلاصة الكلام في الآية: إنّ الآية، كما تَبَيَّن، ظاهرةٌ في عصمة أُولي الأمر عصمةً مطلقةً عن الذنب والخطأ، أمّا هويّة أُولي الأمر، فموكولةٌ إلى ما سيأتي بعض الكلام فيه من الأدلّة في السنّة الشريفة.</w:t>
      </w: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26" w:name="_Toc155869522"/>
      <w:r w:rsidRPr="0064226D">
        <w:rPr>
          <w:rFonts w:ascii="Adobe Arabic" w:eastAsia="Times New Roman" w:hAnsi="Adobe Arabic" w:cs="Adobe Arabic"/>
          <w:b/>
          <w:bCs/>
          <w:color w:val="538135" w:themeColor="accent6" w:themeShade="BF"/>
          <w:sz w:val="40"/>
          <w:szCs w:val="40"/>
          <w:rtl/>
        </w:rPr>
        <w:lastRenderedPageBreak/>
        <w:t>الدرس السادس</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الأدلّة على حجّيّة سنّة أهل البيت</w:t>
      </w:r>
      <w:r w:rsidR="001609BB" w:rsidRPr="0064226D">
        <w:rPr>
          <w:rFonts w:ascii="Adobe Arabic" w:eastAsia="Times New Roman" w:hAnsi="Adobe Arabic" w:cs="Adobe Arabic"/>
          <w:b/>
          <w:bCs/>
          <w:color w:val="538135" w:themeColor="accent6" w:themeShade="BF"/>
          <w:sz w:val="40"/>
          <w:szCs w:val="40"/>
          <w:rtl/>
        </w:rPr>
        <w:t>(عليهم السلام)</w:t>
      </w:r>
      <w:r w:rsidRPr="0064226D">
        <w:rPr>
          <w:rFonts w:ascii="Adobe Arabic" w:eastAsia="Times New Roman" w:hAnsi="Adobe Arabic" w:cs="Adobe Arabic"/>
          <w:b/>
          <w:bCs/>
          <w:color w:val="538135" w:themeColor="accent6" w:themeShade="BF"/>
          <w:sz w:val="40"/>
          <w:szCs w:val="40"/>
          <w:rtl/>
        </w:rPr>
        <w:t> من السنّة النبويّة 1</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(حديث الثقلَين)</w:t>
      </w:r>
      <w:bookmarkEnd w:id="26"/>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ربط حديث الثقلَين بالبحث في العلاقة بين القرآن والسنّة الواقعيّة.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أوّليّات حديث الثقلَين: فقه الحديث وسنده ومناسباته.</w:t>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FE6F1F" w:rsidRDefault="00FE6F1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27" w:name="_Toc155869523"/>
      <w:r w:rsidRPr="00465CD4">
        <w:rPr>
          <w:rFonts w:ascii="Adobe Arabic" w:eastAsia="Times New Roman" w:hAnsi="Adobe Arabic" w:cs="Adobe Arabic"/>
          <w:b/>
          <w:bCs/>
          <w:color w:val="996633"/>
          <w:sz w:val="36"/>
          <w:szCs w:val="36"/>
          <w:rtl/>
        </w:rPr>
        <w:lastRenderedPageBreak/>
        <w:t>تمهيد: ربط حديث الثقلَين بالمقام</w:t>
      </w:r>
      <w:bookmarkEnd w:id="27"/>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يأتي البحث في حديث الثقلَين في سياق البحث عن حجّيّة سنّة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وهو من أهمّ الأدلّة على حجّيّتها. لكن يهمّنا في المقام، التمهيد لبحث العلاقة بين القرآن والسنّة الواقعيّة، الذي سيرتكز على الخلاصات المستفادة من حديث الثقلَين.</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سبق أن بيّنّا أنّ السنّة، بالمصطلح الإماميّ، شاملةٌ، إضافةً إلى سنّة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لأقوال المعصومين وأفعالهم وتقريراتهم، بل الذي عُرِف عنهم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أنّهم ليس عندهم شيءٌ إلّا من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ولا يخرجون في أقوالهم وأفعالهم وتقريراتهم عن القرآن والسنّة؛ فالسنّة واحدة، وهي سنّة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وهم ليسوا إلّا ورثتها والمبلّغين لها، مع عظمة هذا المقام. ففي الكافي عن محمّد بن عيسى، عن يونس، عن قتيبة، قال: "سأل رجلٌ أبا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عن مسألة، فأجابه فيها، فقال الرجل: أرأيتَ إن كان كذا وكذا، ما يكون القول فيها؟ فقال له: مَه! ما أجبتُك فيه من شيء فهو عن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لسنا من "أرأيتَ" في شيء"</w:t>
      </w:r>
      <w:r w:rsidR="00CF7297">
        <w:rPr>
          <w:rStyle w:val="FootnoteReference"/>
          <w:rFonts w:ascii="Adobe Arabic" w:eastAsia="Times New Roman" w:hAnsi="Adobe Arabic" w:cs="Adobe Arabic"/>
          <w:color w:val="000000"/>
          <w:sz w:val="32"/>
          <w:szCs w:val="32"/>
          <w:rtl/>
        </w:rPr>
        <w:footnoteReference w:id="142"/>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وعن يونس بن عبد الرحمن عن أبي الحسن الرضا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في حديث طويل نذكر منه: "فإنّا إن تحدّثنا حدَّثْنا بموافقة القرآن وموافقة السنّة. إنّا عن الله وعن رسوله نُحدِّث، ولا نقول قال فلان وفلان، فيتناقض كلامنا، إنّ كلامَ آخِرِنا مثلُ كلامِ أوّلِنا، وكلامَ أوّلِنا مصادقٌ لكلامِ آخِرِنا"</w:t>
      </w:r>
      <w:r w:rsidR="00CF7297">
        <w:rPr>
          <w:rStyle w:val="FootnoteReference"/>
          <w:rFonts w:ascii="Adobe Arabic" w:eastAsia="Times New Roman" w:hAnsi="Adobe Arabic" w:cs="Adobe Arabic"/>
          <w:color w:val="000000"/>
          <w:sz w:val="32"/>
          <w:szCs w:val="32"/>
          <w:rtl/>
        </w:rPr>
        <w:footnoteReference w:id="143"/>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وفي بصائر الدرجات الكبرى عن الأحول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"سمعتُه يقول: إنّا لو كنّا نفتي الناس برأينا وهوانا، لكنّا من الهالكين، ولكنّها آثارٌ من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 أصلُ علمٍ نتوارثها كابر عن كابر(عن كابر)، نكنزها كما يكنز الناس ذَهَبَهم وفضّتهم"</w:t>
      </w:r>
      <w:r w:rsidR="00CF7297">
        <w:rPr>
          <w:rStyle w:val="FootnoteReference"/>
          <w:rFonts w:ascii="Adobe Arabic" w:eastAsia="Times New Roman" w:hAnsi="Adobe Arabic" w:cs="Adobe Arabic"/>
          <w:color w:val="000000"/>
          <w:sz w:val="32"/>
          <w:szCs w:val="32"/>
          <w:rtl/>
        </w:rPr>
        <w:footnoteReference w:id="144"/>
      </w:r>
      <w:r w:rsidRPr="001609BB">
        <w:rPr>
          <w:rFonts w:ascii="Adobe Arabic" w:eastAsia="Times New Roman" w:hAnsi="Adobe Arabic" w:cs="Adobe Arabic"/>
          <w:color w:val="000000"/>
          <w:sz w:val="32"/>
          <w:szCs w:val="32"/>
          <w:rtl/>
        </w:rPr>
        <w:t>. والأحاديث بهذا المعنى مستفيضة، لا داعي للإطالة بذكرها.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 هنا تبرز أهمّيّة حديث الثقلَين لدى البحث عن العلاقة بين القرآن الكريم والسنّة، إذ إنّ الحديث يصف العلاقة بين القرآن والعترة كما سيأتي عند الكلام في متنه، والتمسّك بالقرآن والعترة هو تمسُّكٌ بالقرآن وسنّة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بوجه، كما اتّضح من خلال الأحاديث المذكورة آنفًا، ومن خلال تعريفات علماء الشيعة للسنّة، واشتمالها على أقوال المعصومين كلّهم وأفعالهم وتقريراتهم، ولا معنى لمخالفة المعصوم للمعصوم في الشريعة نفسها، كما لا يخفى، وصاحب الشريعة هو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وحديث الثقلَين يمتاز عن غيره بمميّزات تؤهّله لريادة البحث في هذا المجال، أهمّها: التواتر من ناحية السند، والصراحة والوضوح من ناحية الألفاظ، وكونه مسوقًا مساق الوصيّة للأمّة كما تشهد بذلك بعض عباراته والمناسبات التي أُلقِي بها، وسيأتي تفصيل ذلك كلّه إن شاء الله تعالى.</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28" w:name="_Toc155869524"/>
      <w:r w:rsidRPr="00465CD4">
        <w:rPr>
          <w:rFonts w:ascii="Adobe Arabic" w:eastAsia="Times New Roman" w:hAnsi="Adobe Arabic" w:cs="Adobe Arabic"/>
          <w:b/>
          <w:bCs/>
          <w:color w:val="996633"/>
          <w:sz w:val="36"/>
          <w:szCs w:val="36"/>
          <w:rtl/>
        </w:rPr>
        <w:t>فقه الحديث وسنده ومناسباته</w:t>
      </w:r>
      <w:bookmarkEnd w:id="28"/>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سنده ومناسباته</w:t>
      </w:r>
    </w:p>
    <w:p w:rsidR="004478E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رُوِي الحديث عند الفريقَين بأسانيد متعدّدة متضافرة، وصلَت حدّ التواتر، فقد رُوِي عند غير الإماميّة عن نحو بضعة عشرة صحابيًّا</w:t>
      </w:r>
      <w:r w:rsidR="00CF7297">
        <w:rPr>
          <w:rStyle w:val="FootnoteReference"/>
          <w:rFonts w:ascii="Adobe Arabic" w:eastAsia="Times New Roman" w:hAnsi="Adobe Arabic" w:cs="Adobe Arabic"/>
          <w:color w:val="000000"/>
          <w:sz w:val="32"/>
          <w:szCs w:val="32"/>
          <w:rtl/>
        </w:rPr>
        <w:footnoteReference w:id="145"/>
      </w:r>
      <w:r w:rsidRPr="001609BB">
        <w:rPr>
          <w:rFonts w:ascii="Adobe Arabic" w:eastAsia="Times New Roman" w:hAnsi="Adobe Arabic" w:cs="Adobe Arabic"/>
          <w:color w:val="000000"/>
          <w:sz w:val="32"/>
          <w:szCs w:val="32"/>
          <w:rtl/>
        </w:rPr>
        <w:t>، أو نيّف وعشرين كما في كلام ابن حجر الآتي. وأحصى صاحب العبقات</w:t>
      </w:r>
      <w:r w:rsidR="00CF7297">
        <w:rPr>
          <w:rStyle w:val="FootnoteReference"/>
          <w:rFonts w:ascii="Adobe Arabic" w:eastAsia="Times New Roman" w:hAnsi="Adobe Arabic" w:cs="Adobe Arabic"/>
          <w:color w:val="000000"/>
          <w:sz w:val="32"/>
          <w:szCs w:val="32"/>
          <w:rtl/>
        </w:rPr>
        <w:footnoteReference w:id="146"/>
      </w:r>
      <w:r w:rsidRPr="001609BB">
        <w:rPr>
          <w:rFonts w:ascii="Adobe Arabic" w:eastAsia="Times New Roman" w:hAnsi="Adobe Arabic" w:cs="Adobe Arabic"/>
          <w:color w:val="000000"/>
          <w:sz w:val="32"/>
          <w:szCs w:val="32"/>
          <w:rtl/>
        </w:rPr>
        <w:t xml:space="preserve"> أربعة وثلاثين صحابيًّا ممّن رُوِي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عنهم الحديث. وممّا يزيد في الوثوق بتواتر الحديث، تعدُّدُ طُرُقِ كثيرٍ من أفراد هذه الأسانيد</w:t>
      </w:r>
      <w:r w:rsidR="00CF7297">
        <w:rPr>
          <w:rStyle w:val="FootnoteReference"/>
          <w:rFonts w:ascii="Adobe Arabic" w:eastAsia="Times New Roman" w:hAnsi="Adobe Arabic" w:cs="Adobe Arabic"/>
          <w:color w:val="000000"/>
          <w:sz w:val="32"/>
          <w:szCs w:val="32"/>
          <w:rtl/>
        </w:rPr>
        <w:footnoteReference w:id="147"/>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أمّا عند الإماميّة، فإنّ العدد قد وصل إلى اثنَين وثمانين سندًا، بناءً على ما أحصاه صاحب غاية المرام</w:t>
      </w:r>
      <w:r w:rsidR="00CF7297">
        <w:rPr>
          <w:rStyle w:val="FootnoteReference"/>
          <w:rFonts w:ascii="Adobe Arabic" w:eastAsia="Times New Roman" w:hAnsi="Adobe Arabic" w:cs="Adobe Arabic"/>
          <w:color w:val="000000"/>
          <w:sz w:val="32"/>
          <w:szCs w:val="32"/>
          <w:rtl/>
        </w:rPr>
        <w:footnoteReference w:id="148"/>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ومناسبات الحديث وموارده تُظهِر اهتمامًا خاصًّا من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بتأكيد منهج عدم الافتراق بين القرآن والعترة كمرجع وحيد للأمّة، وذلك عبر تكرار الوصيّة بالثقلَين في مناسبات شتّى، كما تثبته كتب الأحاديث والسير. لذا، قال ابن حجر: "ثمّ اعلم أنّ لحديث التمسُّك بذلك طرقًا كثيرة، وردَت عن نيّفٍ وعشرين صحابيًّا، ومرّ له طرق مبسوطة في حادي عشر الشبه. وفي بعض تلك الطرق، أنّه قال ذلك بحجّة الوداع بعرفة، وفي أخرى أنّه قاله بالمدينة في مرضه، وقد امتلأت الحجرة بأصحابه، وفي أخرى أنّه قال ذلك بغدير خمّ، وفي أخرى أنّه قاله لَمّا قام خطيبًا بعد انصرافه من الطائف، كما مرّ؛ ولا تنافي، إذ لا مانع من أنّه كرّر عليهم ذلك في تلك المواطن وغيرها، اهتمامًا بشأن الكتاب العزيز والعترة الطاهرة"</w:t>
      </w:r>
      <w:r w:rsidR="00CF7297">
        <w:rPr>
          <w:rStyle w:val="FootnoteReference"/>
          <w:rFonts w:ascii="Adobe Arabic" w:eastAsia="Times New Roman" w:hAnsi="Adobe Arabic" w:cs="Adobe Arabic"/>
          <w:color w:val="000000"/>
          <w:sz w:val="32"/>
          <w:szCs w:val="32"/>
          <w:rtl/>
        </w:rPr>
        <w:footnoteReference w:id="149"/>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ونذكر هنا ثلاث مناسبات تحدّث بها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بحديث الثقلَين:</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أوّلها: يوم عرفة، وهو على ناقته القصواء: عن جابر بن عبد الله الأنصاريّ، قال: "رأيتُ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حجّته يوم عرفة، وهو على ناقته القصواء يخطب، فسمعته يقول: يا أيّها الناس، إنّي قد تركتُ فيكم ما إنْ أخذتُم به لن تضلّوا: كتابَ الله، وعترتي أهلَ بيتي"</w:t>
      </w:r>
      <w:r w:rsidR="00CF7297">
        <w:rPr>
          <w:rStyle w:val="FootnoteReference"/>
          <w:rFonts w:ascii="Adobe Arabic" w:eastAsia="Times New Roman" w:hAnsi="Adobe Arabic" w:cs="Adobe Arabic"/>
          <w:color w:val="000000"/>
          <w:sz w:val="32"/>
          <w:szCs w:val="32"/>
          <w:rtl/>
        </w:rPr>
        <w:footnoteReference w:id="150"/>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ثانيها: يوم غدير خمّ، عند منصرفه من حجّة الوداع: حيث أوصى لعليّ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بالولاية من بعده، بعد أن نعى نفسه الشريفة إلى الناس، فقال، كما في رواية كنز العمّال: "إنّي لا أجد لنبيّ إلّا نصف عمر الذي كان قبله، وإنّي أوشك أن أُدعى فأجيب، فما أنتم قائلون؟ قالوا: نصحت. قال: أليس تشهدون أن لا إله إلا الله، وأنّ محمّدًا عبده ورسوله، وأنّ الجنّة حقّ، وأنّ النار حقّ، وأنّ البعث بعد الموت حقّ؟ قالوا: نشهد. قال: وأنا أشهدُ معكم. ألا هل تسمعون؟ فإنّي فرطكم على الحوض، وأنتم واردون عَلَيَّ الحوض، وإنّ عرضَه أبعدُ ما بين صنعاء وبصرى، فيه أقداحٌ عدد النجوم من فضّة، فانظروا كيف تخلفوني في الثقلَين. قالوا: وما الثقلان يا رسول الله؟ قال: كتاب الله؛ طرفُه بيد الله، وطرفُه بأيديكم، فاستمسكوا به ولا تضلّوا. والآخَر عترتي، وإنّ اللطيف الخبير نبّأني أنّهما لن يتفرّقا حتّى يَرِدا على الحوض، فسألتُ ذلك لهما ربّى، فلا تقدّموهما فتهلكوا، ولا تقصّروا عنهما فتهلكوا، ولا تعلوهم (كذا)</w:t>
      </w:r>
      <w:r w:rsidR="00CF7297">
        <w:rPr>
          <w:rStyle w:val="FootnoteReference"/>
          <w:rFonts w:ascii="Adobe Arabic" w:eastAsia="Times New Roman" w:hAnsi="Adobe Arabic" w:cs="Adobe Arabic"/>
          <w:color w:val="000000"/>
          <w:sz w:val="32"/>
          <w:szCs w:val="32"/>
          <w:rtl/>
        </w:rPr>
        <w:footnoteReference w:id="151"/>
      </w:r>
      <w:r w:rsidRPr="001609BB">
        <w:rPr>
          <w:rFonts w:ascii="Adobe Arabic" w:eastAsia="Times New Roman" w:hAnsi="Adobe Arabic" w:cs="Adobe Arabic"/>
          <w:color w:val="000000"/>
          <w:sz w:val="32"/>
          <w:szCs w:val="32"/>
          <w:rtl/>
        </w:rPr>
        <w:t> فإنّهم أعلم منكم. مَن كنتُ أَوْلى به من نفسه، فعليٌّ وليُّه اللهمّ، والِ مَن والاه، وعادِ مَن عاداه"</w:t>
      </w:r>
      <w:r w:rsidR="00CF7297">
        <w:rPr>
          <w:rStyle w:val="FootnoteReference"/>
          <w:rFonts w:ascii="Adobe Arabic" w:eastAsia="Times New Roman" w:hAnsi="Adobe Arabic" w:cs="Adobe Arabic"/>
          <w:color w:val="000000"/>
          <w:sz w:val="32"/>
          <w:szCs w:val="32"/>
          <w:rtl/>
        </w:rPr>
        <w:footnoteReference w:id="152"/>
      </w:r>
      <w:r w:rsidRPr="001609BB">
        <w:rPr>
          <w:rFonts w:ascii="Adobe Arabic" w:eastAsia="Times New Roman" w:hAnsi="Adobe Arabic" w:cs="Adobe Arabic"/>
          <w:color w:val="000000"/>
          <w:sz w:val="32"/>
          <w:szCs w:val="32"/>
          <w:rtl/>
        </w:rPr>
        <w:t>.</w:t>
      </w:r>
    </w:p>
    <w:p w:rsidR="004478E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ثالثها: في مرض وفاته: فقد أخرج الحافظ ابن عقدة في كتاب الولاية من طريق عروة بن خارجة، "عن فاطمة الزهراء (رضي الله عنها)</w:t>
      </w:r>
      <w:r w:rsidR="00CF7297">
        <w:rPr>
          <w:rStyle w:val="FootnoteReference"/>
          <w:rFonts w:ascii="Adobe Arabic" w:eastAsia="Times New Roman" w:hAnsi="Adobe Arabic" w:cs="Adobe Arabic"/>
          <w:color w:val="000000"/>
          <w:sz w:val="32"/>
          <w:szCs w:val="32"/>
          <w:rtl/>
        </w:rPr>
        <w:footnoteReference w:id="153"/>
      </w:r>
      <w:r w:rsidRPr="001609BB">
        <w:rPr>
          <w:rFonts w:ascii="Adobe Arabic" w:eastAsia="Times New Roman" w:hAnsi="Adobe Arabic" w:cs="Adobe Arabic"/>
          <w:color w:val="000000"/>
          <w:sz w:val="32"/>
          <w:szCs w:val="32"/>
          <w:rtl/>
        </w:rPr>
        <w:t> قالت: سمعتُ أبي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xml:space="preserve"> في مرضه الذي قُبِض فيه يقول، وقد امتلأت الحجرة من أصحابه: "أيّها الناس، يوشك أن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أُقبَض قبضًا سريعًا، وقد قدّمتُ إليكم القول معذرةً إليكم، أَلَا وإنّي مخلّف فيكم كتاب ربّي عزَّ وجلَّ وعترتي أهل بيتي"، ثم أخذ بيد عليٍّ فقال: "هذا عليٌّ مع القرآن، والقرآن مع عليّ، لا يفترقان حتّى يَرِدا عَلَيَّ الحوض، فأسألكم ما تخلفوني فيهما"</w:t>
      </w:r>
      <w:r w:rsidR="00CF7297">
        <w:rPr>
          <w:rStyle w:val="FootnoteReference"/>
          <w:rFonts w:ascii="Adobe Arabic" w:eastAsia="Times New Roman" w:hAnsi="Adobe Arabic" w:cs="Adobe Arabic"/>
          <w:color w:val="000000"/>
          <w:sz w:val="32"/>
          <w:szCs w:val="32"/>
          <w:rtl/>
        </w:rPr>
        <w:footnoteReference w:id="154"/>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أمارات فارقة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وثمّة أمارات فارقة في الأحاديث في هذه المواطن التي ذكرناها، تشير إلى أهمّيّة المضمون عند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منها:</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 الخطبة والصلاة والموعظة: ففي واقعة الغدير، وأمام الالآف ممّن كانوا قد حجّوا معه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-وقد كان معه جموعٌ في الحجّ لا يعلمها إلّا الله تعالى، قيل: كانوا أربعين ألفًا، وقيل: كانوا سبعين ألفًا، وقيل: كانوا تسعين ألفًا، وقيل: كانوا مئة ألف وأربعة عشر ألفًا، وقيل: وعشرين ألفًا، وقيل: كانوا أكثر من ذلك-</w:t>
      </w:r>
      <w:r w:rsidR="00CF7297">
        <w:rPr>
          <w:rStyle w:val="FootnoteReference"/>
          <w:rFonts w:ascii="Adobe Arabic" w:eastAsia="Times New Roman" w:hAnsi="Adobe Arabic" w:cs="Adobe Arabic"/>
          <w:color w:val="000000"/>
          <w:sz w:val="32"/>
          <w:szCs w:val="32"/>
          <w:rtl/>
        </w:rPr>
        <w:footnoteReference w:id="155"/>
      </w:r>
      <w:r w:rsidRPr="001609BB">
        <w:rPr>
          <w:rFonts w:ascii="Adobe Arabic" w:eastAsia="Times New Roman" w:hAnsi="Adobe Arabic" w:cs="Adobe Arabic"/>
          <w:color w:val="000000"/>
          <w:sz w:val="32"/>
          <w:szCs w:val="32"/>
          <w:rtl/>
        </w:rPr>
        <w:t> نزل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بين مكّة والمدينة عند سمرات خمس دوحات عظام، فكنس أناسٌ ما تحت السمرات، ثم راح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فصلّى، ثمّ قام خطيبًا، فحمد الله وأثنى عليه، وذكر ووعظ، وقال ما شاء الله أن يقول، ثم قال: "يا أيّها النّاس، إنّي تاركٌ فيكم أمرَين، لن تضلّوا إذا اتّبعتموهما: كتاب الله، وأهل بيتي عترتي"، ثمّ قال: "أتعلمون أنّي أَوْلى بالمؤمنين من أنفسهم"؟ ثلاث مرّات، فقال الناس: نعم. فقال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"مَن كنتُ مولاه، فإنّ عليًّا مولاه"</w:t>
      </w:r>
      <w:r w:rsidR="00CF7297">
        <w:rPr>
          <w:rStyle w:val="FootnoteReference"/>
          <w:rFonts w:ascii="Adobe Arabic" w:eastAsia="Times New Roman" w:hAnsi="Adobe Arabic" w:cs="Adobe Arabic"/>
          <w:color w:val="000000"/>
          <w:sz w:val="32"/>
          <w:szCs w:val="32"/>
          <w:rtl/>
        </w:rPr>
        <w:footnoteReference w:id="156"/>
      </w:r>
      <w:r w:rsidRPr="001609BB">
        <w:rPr>
          <w:rFonts w:ascii="Adobe Arabic" w:eastAsia="Times New Roman" w:hAnsi="Adobe Arabic" w:cs="Adobe Arabic"/>
          <w:color w:val="000000"/>
          <w:sz w:val="32"/>
          <w:szCs w:val="32"/>
          <w:rtl/>
        </w:rPr>
        <w:t>.</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ب. في يوم شديد الحرّ: كما في أوصاف يوم الغدير، فقد أخرج الحاكم عن زيد بن أرقم، قَالَ: خَرَجْنَا مَعَ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xml:space="preserve"> حَتَّى انْتَهَيْنَا إِلَى غَدِيرِ خُمٍّ، فَأَمَرَ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بِدَوْحٍ</w:t>
      </w:r>
      <w:r w:rsidR="00CF7297">
        <w:rPr>
          <w:rStyle w:val="FootnoteReference"/>
          <w:rFonts w:ascii="Adobe Arabic" w:eastAsia="Times New Roman" w:hAnsi="Adobe Arabic" w:cs="Adobe Arabic"/>
          <w:color w:val="000000"/>
          <w:sz w:val="32"/>
          <w:szCs w:val="32"/>
          <w:rtl/>
        </w:rPr>
        <w:footnoteReference w:id="157"/>
      </w:r>
      <w:r w:rsidRPr="001609BB">
        <w:rPr>
          <w:rFonts w:ascii="Adobe Arabic" w:eastAsia="Times New Roman" w:hAnsi="Adobe Arabic" w:cs="Adobe Arabic"/>
          <w:color w:val="000000"/>
          <w:sz w:val="32"/>
          <w:szCs w:val="32"/>
          <w:rtl/>
        </w:rPr>
        <w:t>، فَكُسِحَ</w:t>
      </w:r>
      <w:r w:rsidR="00CF7297">
        <w:rPr>
          <w:rStyle w:val="FootnoteReference"/>
          <w:rFonts w:ascii="Adobe Arabic" w:eastAsia="Times New Roman" w:hAnsi="Adobe Arabic" w:cs="Adobe Arabic"/>
          <w:color w:val="000000"/>
          <w:sz w:val="32"/>
          <w:szCs w:val="32"/>
          <w:rtl/>
        </w:rPr>
        <w:footnoteReference w:id="158"/>
      </w:r>
      <w:r w:rsidRPr="001609BB">
        <w:rPr>
          <w:rFonts w:ascii="Adobe Arabic" w:eastAsia="Times New Roman" w:hAnsi="Adobe Arabic" w:cs="Adobe Arabic"/>
          <w:color w:val="000000"/>
          <w:sz w:val="32"/>
          <w:szCs w:val="32"/>
          <w:rtl/>
        </w:rPr>
        <w:t> فِي يَوْمٍ مَا أَتَى عَلَيْنَا يَوْمٌ كَانَ أَشَدَّ حَرًّا مِنْهُ، فَحَمِدَ اللَّهَ وَأَثْنَى عَلَيْهِ، وَقَالَ: "يَا أَيُّهَا النَّاسُ، إِنَّهُ لَمْ يُبْعَثْ نَبِيٌّ قَطُّ إِلَّا مَا عَاشَ نِصْفَ مَا عَاشَ الَّذِي كَانَ قَبْلَهُ، وَإِنِّي أُوشِكُ أَنْ أُدْعَى فَأُجِيبَ... قَالَ: مَنْ كُنْتُ مَوْلَاهُ فَعَلِيٌّ مَوْلَاهُ"</w:t>
      </w:r>
      <w:r w:rsidR="00CF7297">
        <w:rPr>
          <w:rStyle w:val="FootnoteReference"/>
          <w:rFonts w:ascii="Adobe Arabic" w:eastAsia="Times New Roman" w:hAnsi="Adobe Arabic" w:cs="Adobe Arabic"/>
          <w:color w:val="000000"/>
          <w:sz w:val="32"/>
          <w:szCs w:val="32"/>
          <w:rtl/>
        </w:rPr>
        <w:footnoteReference w:id="159"/>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ج. بعد نعي النبيّ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لنفسه: كما في الأحاديث التي ذكرناها عن ابن عقدة وكنز العمّال، وغيرها كثير.</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د. بعد أن أشهدهم على تبليغه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للرسالة: بعد أن أشهدهم على تبليغه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للرسالة: "أمّا بعد، أيّها الناس، فإنّي لا أراني إلّا موشكًا أن أُدعى فأجيب، وإنّي مسؤولٌ وأنتم مسؤولون، فما أنتم قائلون؟" قالوا: نشهد أنّك بلّغتَ ونصحتَ وأدّيتَ. قال: "إنّي لكم فرط، وأنتم واردون عَلَيَّ الحوض، وإنّي مخلّف فيكم الثقلَين: كتاب الله، وعترتي أهل بيتي"</w:t>
      </w:r>
      <w:r w:rsidR="00CF7297">
        <w:rPr>
          <w:rStyle w:val="FootnoteReference"/>
          <w:rFonts w:ascii="Adobe Arabic" w:eastAsia="Times New Roman" w:hAnsi="Adobe Arabic" w:cs="Adobe Arabic"/>
          <w:color w:val="000000"/>
          <w:sz w:val="32"/>
          <w:szCs w:val="32"/>
          <w:rtl/>
        </w:rPr>
        <w:footnoteReference w:id="160"/>
      </w:r>
      <w:r w:rsidRPr="001609BB">
        <w:rPr>
          <w:rFonts w:ascii="Adobe Arabic" w:eastAsia="Times New Roman" w:hAnsi="Adobe Arabic" w:cs="Adobe Arabic"/>
          <w:color w:val="000000"/>
          <w:sz w:val="32"/>
          <w:szCs w:val="32"/>
          <w:rtl/>
        </w:rPr>
        <w:t>.</w:t>
      </w: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29" w:name="_Toc155869525"/>
      <w:r w:rsidRPr="0064226D">
        <w:rPr>
          <w:rFonts w:ascii="Adobe Arabic" w:eastAsia="Times New Roman" w:hAnsi="Adobe Arabic" w:cs="Adobe Arabic"/>
          <w:b/>
          <w:bCs/>
          <w:color w:val="538135" w:themeColor="accent6" w:themeShade="BF"/>
          <w:sz w:val="40"/>
          <w:szCs w:val="40"/>
          <w:rtl/>
        </w:rPr>
        <w:lastRenderedPageBreak/>
        <w:t>الدرس السابع</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الأدلّة على حجّيّة سنّة أهل البيت</w:t>
      </w:r>
      <w:r w:rsidR="001609BB" w:rsidRPr="0064226D">
        <w:rPr>
          <w:rFonts w:ascii="Adobe Arabic" w:eastAsia="Times New Roman" w:hAnsi="Adobe Arabic" w:cs="Adobe Arabic"/>
          <w:b/>
          <w:bCs/>
          <w:color w:val="538135" w:themeColor="accent6" w:themeShade="BF"/>
          <w:sz w:val="40"/>
          <w:szCs w:val="40"/>
          <w:rtl/>
        </w:rPr>
        <w:t>(عليهم السلام)</w:t>
      </w:r>
      <w:r w:rsidRPr="0064226D">
        <w:rPr>
          <w:rFonts w:ascii="Adobe Arabic" w:eastAsia="Times New Roman" w:hAnsi="Adobe Arabic" w:cs="Adobe Arabic"/>
          <w:b/>
          <w:bCs/>
          <w:color w:val="538135" w:themeColor="accent6" w:themeShade="BF"/>
          <w:sz w:val="40"/>
          <w:szCs w:val="40"/>
          <w:rtl/>
        </w:rPr>
        <w:t> من السنّة النبويّة 2</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(حديث الثقلَين)</w:t>
      </w:r>
      <w:bookmarkEnd w:id="29"/>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معنى العترة وأهل البيت لغة والمراد منهما.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يدرك المراد من أهل البيت في التعبير القرأنيّ والنبويّ.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يتبيّن دلالة حديث الثقلين على عدم افتراق القرآن والعترة.</w:t>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0" w:name="_Toc155869526"/>
      <w:r w:rsidRPr="00465CD4">
        <w:rPr>
          <w:rFonts w:ascii="Adobe Arabic" w:eastAsia="Times New Roman" w:hAnsi="Adobe Arabic" w:cs="Adobe Arabic"/>
          <w:b/>
          <w:bCs/>
          <w:color w:val="996633"/>
          <w:sz w:val="36"/>
          <w:szCs w:val="36"/>
          <w:rtl/>
        </w:rPr>
        <w:lastRenderedPageBreak/>
        <w:t>فقه الحديث</w:t>
      </w:r>
      <w:bookmarkEnd w:id="30"/>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والكلام في فقه الحديث واللطائف المستفادة منه بنحو مختصر يناسب المقام:</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1" w:name="_Toc155869527"/>
      <w:r w:rsidRPr="00465CD4">
        <w:rPr>
          <w:rFonts w:ascii="Adobe Arabic" w:eastAsia="Times New Roman" w:hAnsi="Adobe Arabic" w:cs="Adobe Arabic"/>
          <w:b/>
          <w:bCs/>
          <w:color w:val="996633"/>
          <w:sz w:val="36"/>
          <w:szCs w:val="36"/>
          <w:rtl/>
        </w:rPr>
        <w:t>أوّلًا: في لفظ الثقلَين ومعناه</w:t>
      </w:r>
      <w:bookmarkEnd w:id="31"/>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قُرئ بتسكين القاف وكسر الثاء، كان بمعنى ضدّ الخفّة، وواحده "ثِقْل"، وسيأتي وجهه عند نقل بعض كلمات اللغويّين. وإن قُرِئ بتحريك الحرفَين، كان بالمعنى المذكور، أو بمعنى متاع المسافر وحشمه، أو الشيء ذي الخطر النفيس والمصون، وواحده "ثَقَل".</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في تاج العروس: "الثِّقَلُ كعِنَبٍ ضِدُّ الخِفَّةِ، قالَ الرَّاغِبُ: وهما مُتَقَابِلان. والثَّقَلُ محرَّكَةً: مَتاعُ المُسافِرِ وحَشَمُه، والجَمْعُ: أَثْقالٌ، وكلُّ شيءٍخطيرٍ نفيسٍ مَصونٍ له قَدْرٌ ووَزْنٌ ثقل عنْدَ العَرَبِ، ومنه قيلَ لبيضِ النَّعامِ: ثقل؛ لأَنَّ آخِذَ</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يفْرَحُ به وهو قوتٌ، وكذلك الحدِيثُ: «إِنَّي تارِكٌ فيكُم الثقلَين كِتابَ اللَّهِ وعِتْرَتِي»، جَعَلَهما ثَقَلَيْن إعْظاماً لقَدْرِهما وتَفْخِيماً لهما. قالَ ثَعْلَب: سمَّاهُما ثَقَلَيْن لأنَّ الأَخْذَ بهما والعَمَل بهما ثَقِيلٌ"</w:t>
      </w:r>
      <w:r w:rsidR="00CF7297">
        <w:rPr>
          <w:rStyle w:val="FootnoteReference"/>
          <w:rFonts w:ascii="Adobe Arabic" w:eastAsia="Times New Roman" w:hAnsi="Adobe Arabic" w:cs="Adobe Arabic"/>
          <w:color w:val="000000"/>
          <w:sz w:val="32"/>
          <w:szCs w:val="32"/>
          <w:rtl/>
        </w:rPr>
        <w:footnoteReference w:id="161"/>
      </w:r>
      <w:r w:rsidRPr="001609BB">
        <w:rPr>
          <w:rFonts w:ascii="Adobe Arabic" w:eastAsia="Times New Roman" w:hAnsi="Adobe Arabic" w:cs="Adobe Arabic"/>
          <w:color w:val="000000"/>
          <w:sz w:val="32"/>
          <w:szCs w:val="32"/>
          <w:rtl/>
        </w:rPr>
        <w:t>.</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ويظهر من ذيل الكلام الأخير المنقول عن ثعلب، في كون اللفظَين بمعنى واحد، وهو المعنى الأوّل، وهو ما يظهر أيضًا ممّا نقله صاحب لسان العرب عن ابن الأنباريّ، قال: "قَالَ ابْنُ الأَنباري: قِيلَ لِلْجِنِّ والإِنس الثَّقَلان لأَنّهما كالثَّقَل للأَرض وَعَلَيْهَا. والثَّقَل بِمَعْنَى الثِّقْل، وَجَمْعُهُ أَثقال، وَمَجْرَاهُمَا مَجْرَى قَوْلِ الْعَرَبِ مَثَل ومِثْل وشَبَه وشِبْه ونَجَس ونِجْس"</w:t>
      </w:r>
      <w:r w:rsidR="00CF7297">
        <w:rPr>
          <w:rStyle w:val="FootnoteReference"/>
          <w:rFonts w:ascii="Adobe Arabic" w:eastAsia="Times New Roman" w:hAnsi="Adobe Arabic" w:cs="Adobe Arabic"/>
          <w:color w:val="000000"/>
          <w:sz w:val="32"/>
          <w:szCs w:val="32"/>
          <w:rtl/>
        </w:rPr>
        <w:footnoteReference w:id="162"/>
      </w:r>
      <w:hyperlink r:id="rId12" w:anchor="footnote-212" w:history="1"/>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هذا، ولكنّ القرائن الموجودة في الحديث ترجّح إرادة معنى الشيء النفيس والمصون. ولعلّ أهمّ هذه القرائن ذِكر نعي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لنفسه الشريفة، وإخباره بدنوّ أجله -كما نقلنا في قرائن اهتمامه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بالحديث- بعبارات مثل: "أيّها الناس، يوشك أن أُقبَض قبضًا سريعًا"</w:t>
      </w:r>
      <w:r w:rsidR="00CF7297">
        <w:rPr>
          <w:rStyle w:val="FootnoteReference"/>
          <w:rFonts w:ascii="Adobe Arabic" w:eastAsia="Times New Roman" w:hAnsi="Adobe Arabic" w:cs="Adobe Arabic"/>
          <w:color w:val="000000"/>
          <w:sz w:val="32"/>
          <w:szCs w:val="32"/>
          <w:rtl/>
        </w:rPr>
        <w:footnoteReference w:id="163"/>
      </w:r>
      <w:r w:rsidRPr="001609BB">
        <w:rPr>
          <w:rFonts w:ascii="Adobe Arabic" w:eastAsia="Times New Roman" w:hAnsi="Adobe Arabic" w:cs="Adobe Arabic"/>
          <w:color w:val="000000"/>
          <w:sz w:val="32"/>
          <w:szCs w:val="32"/>
          <w:rtl/>
        </w:rPr>
        <w:t>، و"يوشك أن أُدْعى فأجيب"</w:t>
      </w:r>
      <w:r w:rsidR="00CF7297">
        <w:rPr>
          <w:rStyle w:val="FootnoteReference"/>
          <w:rFonts w:ascii="Adobe Arabic" w:eastAsia="Times New Roman" w:hAnsi="Adobe Arabic" w:cs="Adobe Arabic"/>
          <w:color w:val="000000"/>
          <w:sz w:val="32"/>
          <w:szCs w:val="32"/>
          <w:rtl/>
        </w:rPr>
        <w:footnoteReference w:id="164"/>
      </w:r>
      <w:r w:rsidRPr="001609BB">
        <w:rPr>
          <w:rFonts w:ascii="Adobe Arabic" w:eastAsia="Times New Roman" w:hAnsi="Adobe Arabic" w:cs="Adobe Arabic"/>
          <w:color w:val="000000"/>
          <w:sz w:val="32"/>
          <w:szCs w:val="32"/>
          <w:rtl/>
        </w:rPr>
        <w:t>، و"كأنّي قد دُعِيتُ فأجبتُ"</w:t>
      </w:r>
      <w:r w:rsidR="00CF7297">
        <w:rPr>
          <w:rStyle w:val="FootnoteReference"/>
          <w:rFonts w:ascii="Adobe Arabic" w:eastAsia="Times New Roman" w:hAnsi="Adobe Arabic" w:cs="Adobe Arabic"/>
          <w:color w:val="000000"/>
          <w:sz w:val="32"/>
          <w:szCs w:val="32"/>
          <w:rtl/>
        </w:rPr>
        <w:footnoteReference w:id="165"/>
      </w:r>
      <w:r w:rsidRPr="001609BB">
        <w:rPr>
          <w:rFonts w:ascii="Adobe Arabic" w:eastAsia="Times New Roman" w:hAnsi="Adobe Arabic" w:cs="Adobe Arabic"/>
          <w:color w:val="000000"/>
          <w:sz w:val="32"/>
          <w:szCs w:val="32"/>
          <w:rtl/>
        </w:rPr>
        <w:t>. وإن كان لا يبعد إرادة معنى متاع المسافر، كما وجَّهَهُ جامع نهج البلاغة.</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الشريف الرضيّ: "في هذا الخبر أيضًا مجازٌ. وذلك تسميته</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الكتابَ والعترةَ بِـ «الثقلَين»، وواحدهما: ثَقَل، وهو متاع المسافر الذي يصحبه إذا رحل، ويسترفق به إذا نزل، فأقام</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الكتابَ والعترةَ مقام رفيقه في السفر، ورفاقه في الحضر، وجعلهما بمنزلة المتاع الذي يخلفه بعد وفاته، فلذلك احتاج إلى أن يوصي بحفظه ومراعاته"</w:t>
      </w:r>
      <w:r w:rsidR="00CF7297">
        <w:rPr>
          <w:rStyle w:val="FootnoteReference"/>
          <w:rFonts w:ascii="Adobe Arabic" w:eastAsia="Times New Roman" w:hAnsi="Adobe Arabic" w:cs="Adobe Arabic"/>
          <w:color w:val="000000"/>
          <w:sz w:val="32"/>
          <w:szCs w:val="32"/>
          <w:rtl/>
        </w:rPr>
        <w:footnoteReference w:id="166"/>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2" w:name="_Toc155869528"/>
      <w:r w:rsidRPr="00465CD4">
        <w:rPr>
          <w:rFonts w:ascii="Adobe Arabic" w:eastAsia="Times New Roman" w:hAnsi="Adobe Arabic" w:cs="Adobe Arabic"/>
          <w:b/>
          <w:bCs/>
          <w:color w:val="996633"/>
          <w:sz w:val="36"/>
          <w:szCs w:val="36"/>
          <w:rtl/>
        </w:rPr>
        <w:t>ثانيًا: في معنى العترة وأهل البيت والمراد منهما</w:t>
      </w:r>
      <w:bookmarkEnd w:id="32"/>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الجوهريّ: «عترة الرجل: نسله ورهطه الأدنون»</w:t>
      </w:r>
      <w:r w:rsidR="00CF7297">
        <w:rPr>
          <w:rStyle w:val="FootnoteReference"/>
          <w:rFonts w:ascii="Adobe Arabic" w:eastAsia="Times New Roman" w:hAnsi="Adobe Arabic" w:cs="Adobe Arabic"/>
          <w:color w:val="000000"/>
          <w:sz w:val="32"/>
          <w:szCs w:val="32"/>
          <w:rtl/>
        </w:rPr>
        <w:footnoteReference w:id="167"/>
      </w:r>
      <w:r w:rsidRPr="001609BB">
        <w:rPr>
          <w:rFonts w:ascii="Adobe Arabic" w:eastAsia="Times New Roman" w:hAnsi="Adobe Arabic" w:cs="Adobe Arabic"/>
          <w:color w:val="000000"/>
          <w:sz w:val="32"/>
          <w:szCs w:val="32"/>
          <w:rtl/>
        </w:rPr>
        <w:t>. وفي لسان العرب: «ابن الأَثير: عِتْرةُ الرجل أَخَصُّ أَقارِبه. وقال ابن الأَعرابيّ: العِتْرة ولدُ الرجل وذرّيّته وعِقُبُه من صُلْبه، قال: فعِتْرةُ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ولدُ فاطمة البَتُول</w:t>
      </w:r>
      <w:r w:rsidRPr="001609BB">
        <w:rPr>
          <w:rFonts w:ascii="Adobe Arabic" w:eastAsia="Times New Roman" w:hAnsi="Adobe Arabic" w:cs="Adobe Arabic"/>
          <w:color w:val="000000"/>
          <w:sz w:val="32"/>
          <w:szCs w:val="32"/>
        </w:rPr>
        <w:t>i</w:t>
      </w:r>
      <w:r w:rsidRPr="001609BB">
        <w:rPr>
          <w:rFonts w:ascii="Adobe Arabic" w:eastAsia="Times New Roman" w:hAnsi="Adobe Arabic" w:cs="Adobe Arabic"/>
          <w:color w:val="000000"/>
          <w:sz w:val="32"/>
          <w:szCs w:val="32"/>
          <w:rtl/>
        </w:rPr>
        <w:t>. ورُوِي عن أَبي سعيد، قال: العِتْرةُ ساقُ الشجرة، قال: وعِتْرةُ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عبدُ المطلّب وولده، وقيل: عِتْرتُه أَهل بيته الأَقربون، وهم: أَولاده وعليٌّ وأَولاده، وقيل: عِتْرتُه الأَقربون والأَبعدون منهم، وقيل: عِتْرةُ الرجل أَقرباؤُه من ولد عمّه دِنْيًا... إلى أن يقول: والمشهور المعروف أَن عتْرتَه أَهلُ بيته، وهم الذين حُرِّمَت عليهم الزكاة والصدقة المفروضة، وهم ذوو القربى الذين لهم خُمُسُ الخُمُسِ المذكور في سورة الأَنفال»</w:t>
      </w:r>
      <w:r w:rsidR="00CF7297">
        <w:rPr>
          <w:rStyle w:val="FootnoteReference"/>
          <w:rFonts w:ascii="Adobe Arabic" w:eastAsia="Times New Roman" w:hAnsi="Adobe Arabic" w:cs="Adobe Arabic"/>
          <w:color w:val="000000"/>
          <w:sz w:val="32"/>
          <w:szCs w:val="32"/>
          <w:rtl/>
        </w:rPr>
        <w:footnoteReference w:id="168"/>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و"الأهل"، كما قال الراغب: "أهل الرجل: من يجمعه وإيّاهم نَسَبٌ أو دين، أو ما يجري مجراهما من صناعة وبيت وبلد. وأهل الرجل في الأصل: من يجمعه وإيّاهم مسكن واحد، ثم تُجَوِّزَ به فقيل أهل الرجل لمن يجمعه وإيّاهم نَسَبٌ، وتُعُورِفَ في أسرة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مطلقًا إذا قيل: "أهل البيت"، لقوله عزَّ وجلَّ: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69"/>
      </w:r>
      <w:r w:rsidRPr="001609BB">
        <w:rPr>
          <w:rFonts w:ascii="Adobe Arabic" w:eastAsia="Times New Roman" w:hAnsi="Adobe Arabic" w:cs="Adobe Arabic"/>
          <w:color w:val="000000"/>
          <w:sz w:val="32"/>
          <w:szCs w:val="32"/>
          <w:rtl/>
        </w:rPr>
        <w:t>، وعُبِّرَ بأهل الرجل عن امرأته.</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وأهل الإسلام: مَن يجمعهم. ولمّا كانت الشريعة، حكمت برفع حُكم النسب في كثير من الأحكام، بين المسلم والكافر، قال تعالى: </w:t>
      </w:r>
      <w:r w:rsidRPr="008711A0">
        <w:rPr>
          <w:rFonts w:ascii="Traditional Arabic" w:eastAsia="Times New Roman" w:hAnsi="Traditional Arabic" w:cs="Traditional Arabic"/>
          <w:b/>
          <w:bCs/>
          <w:color w:val="538135" w:themeColor="accent6" w:themeShade="BF"/>
          <w:sz w:val="32"/>
          <w:szCs w:val="32"/>
          <w:rtl/>
        </w:rPr>
        <w:t>﴿إِنَّهُ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لَيۡسَ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عَمَلٌ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صَٰلِحۖ﴾</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70"/>
      </w:r>
      <w:r w:rsidRPr="001609BB">
        <w:rPr>
          <w:rFonts w:ascii="Adobe Arabic" w:eastAsia="Times New Roman" w:hAnsi="Adobe Arabic" w:cs="Adobe Arabic"/>
          <w:color w:val="000000"/>
          <w:sz w:val="32"/>
          <w:szCs w:val="32"/>
          <w:rtl/>
        </w:rPr>
        <w:t>، وقال تعالى: </w:t>
      </w:r>
      <w:r w:rsidRPr="008711A0">
        <w:rPr>
          <w:rFonts w:ascii="Traditional Arabic" w:eastAsia="Times New Roman" w:hAnsi="Traditional Arabic" w:cs="Traditional Arabic"/>
          <w:b/>
          <w:bCs/>
          <w:color w:val="538135" w:themeColor="accent6" w:themeShade="BF"/>
          <w:sz w:val="32"/>
          <w:szCs w:val="32"/>
          <w:rtl/>
        </w:rPr>
        <w:t>﴿وَأَه</w:t>
      </w:r>
      <w:r w:rsidRPr="008711A0">
        <w:rPr>
          <w:rFonts w:ascii="Traditional Arabic" w:eastAsia="Times New Roman" w:hAnsi="Traditional Arabic" w:cs="Traditional Arabic" w:hint="cs"/>
          <w:b/>
          <w:bCs/>
          <w:color w:val="538135" w:themeColor="accent6" w:themeShade="BF"/>
          <w:sz w:val="32"/>
          <w:szCs w:val="32"/>
          <w:rtl/>
        </w:rPr>
        <w:t>ۡلَكَ </w:t>
      </w:r>
      <w:r w:rsidRPr="008711A0">
        <w:rPr>
          <w:rFonts w:ascii="Traditional Arabic" w:eastAsia="Times New Roman" w:hAnsi="Traditional Arabic" w:cs="Traditional Arabic"/>
          <w:b/>
          <w:bCs/>
          <w:noProof/>
          <w:color w:val="538135" w:themeColor="accent6" w:themeShade="BF"/>
          <w:sz w:val="32"/>
          <w:szCs w:val="32"/>
        </w:rPr>
        <mc:AlternateContent>
          <mc:Choice Requires="wps">
            <w:drawing>
              <wp:inline distT="0" distB="0" distL="0" distR="0">
                <wp:extent cx="304800" cy="304800"/>
                <wp:effectExtent l="0" t="0" r="0" b="0"/>
                <wp:docPr id="17" name="Rectangle 17" descr="C:\Users\user6\Downloads\Telegram Desktop\%D9%83%D8%AA%D8%A8 %D8%AC%D8%AF%D9%8A%D8%AF%D8%A9\dourous_fi_al_3alaka_ben_lkor2an_wal_sonna-web-resources\image\1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F7451"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O2JUkpAwAAYwYAAA4A&#10;AAAAAAAAAAAAAAAALgIAAGRycy9lMm9Eb2MueG1sUEsBAi0AFAAGAAgAAAAhAEyg6SzYAAAAAwEA&#10;AA8AAAAAAAAAAAAAAAAAgwUAAGRycy9kb3ducmV2LnhtbFBLBQYAAAAABAAEAPMAAACIBgAAAAA=&#10;" filled="f" stroked="f">
                <o:lock v:ext="edit" aspectratio="t"/>
                <w10:anchorlock/>
              </v:rect>
            </w:pict>
          </mc:Fallback>
        </mc:AlternateContent>
      </w:r>
      <w:r w:rsidRPr="008711A0">
        <w:rPr>
          <w:rFonts w:ascii="Traditional Arabic" w:eastAsia="Times New Roman" w:hAnsi="Traditional Arabic" w:cs="Traditional Arabic"/>
          <w:b/>
          <w:bCs/>
          <w:color w:val="538135" w:themeColor="accent6" w:themeShade="BF"/>
          <w:sz w:val="32"/>
          <w:szCs w:val="32"/>
          <w:rtl/>
        </w:rPr>
        <w:t> مَن سَبَقَ عَلَي</w:t>
      </w:r>
      <w:r w:rsidRPr="008711A0">
        <w:rPr>
          <w:rFonts w:ascii="Traditional Arabic" w:eastAsia="Times New Roman" w:hAnsi="Traditional Arabic" w:cs="Traditional Arabic" w:hint="cs"/>
          <w:b/>
          <w:bCs/>
          <w:color w:val="538135" w:themeColor="accent6" w:themeShade="BF"/>
          <w:sz w:val="32"/>
          <w:szCs w:val="32"/>
          <w:rtl/>
        </w:rPr>
        <w:t>ۡهِ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ٱلۡقَوۡلُ﴾</w:t>
      </w:r>
      <w:r w:rsidRPr="008711A0">
        <w:rPr>
          <w:rFonts w:ascii="Traditional Arabic" w:eastAsia="Times New Roman" w:hAnsi="Traditional Arabic" w:cs="Traditional Arabic"/>
          <w:b/>
          <w:bCs/>
          <w:color w:val="538135" w:themeColor="accent6" w:themeShade="BF"/>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3" w:name="_Toc155869529"/>
      <w:r w:rsidRPr="00465CD4">
        <w:rPr>
          <w:rFonts w:ascii="Adobe Arabic" w:eastAsia="Times New Roman" w:hAnsi="Adobe Arabic" w:cs="Adobe Arabic"/>
          <w:b/>
          <w:bCs/>
          <w:color w:val="996633"/>
          <w:sz w:val="36"/>
          <w:szCs w:val="36"/>
          <w:rtl/>
        </w:rPr>
        <w:t>ثالثًا: العترة وأهل البيت</w:t>
      </w:r>
      <w:r w:rsidR="001609BB" w:rsidRPr="00465CD4">
        <w:rPr>
          <w:rFonts w:ascii="Adobe Arabic" w:eastAsia="Times New Roman" w:hAnsi="Adobe Arabic" w:cs="Adobe Arabic"/>
          <w:b/>
          <w:bCs/>
          <w:color w:val="996633"/>
          <w:sz w:val="36"/>
          <w:szCs w:val="36"/>
          <w:rtl/>
        </w:rPr>
        <w:t>(عليهم السلام)</w:t>
      </w:r>
      <w:r w:rsidRPr="00465CD4">
        <w:rPr>
          <w:rFonts w:ascii="Adobe Arabic" w:eastAsia="Times New Roman" w:hAnsi="Adobe Arabic" w:cs="Adobe Arabic"/>
          <w:b/>
          <w:bCs/>
          <w:color w:val="996633"/>
          <w:sz w:val="36"/>
          <w:szCs w:val="36"/>
          <w:rtl/>
        </w:rPr>
        <w:t> في الاصطلاح القرآنيّ والنبويّ</w:t>
      </w:r>
      <w:bookmarkEnd w:id="33"/>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المعاني المنقولة عن اللغويّين للكلمتَين، وإن دارت حول محور واحد، إلّا إنّها غير كافية في تحديد المراد منهما؛ إذ فضلًا عن اختلافها -سعةً وضيقًا- في تحديد دائرة المراد من كلامه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لا يمكن لهذه التفسيرات إسقاط المعاني على الاصطلاح الشرعيّ القرآنيّ أو النبويّ؛ فإنّ "أهل البيت" إطلاقٌ قرآنيٌّ أو نبويٌّ على جماعة خاصّة من أقربائه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ذُكِروا في قوله تعالى: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وَيُطَهِّرَكُمۡ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تَطۡهِيرا﴾</w:t>
      </w:r>
      <w:r w:rsidR="00CF7297">
        <w:rPr>
          <w:rStyle w:val="FootnoteReference"/>
          <w:rFonts w:ascii="Traditional Arabic" w:eastAsia="Times New Roman" w:hAnsi="Traditional Arabic" w:cs="Traditional Arabic"/>
          <w:b/>
          <w:bCs/>
          <w:color w:val="538135" w:themeColor="accent6" w:themeShade="BF"/>
          <w:sz w:val="32"/>
          <w:szCs w:val="32"/>
          <w:rtl/>
        </w:rPr>
        <w:footnoteReference w:id="171"/>
      </w:r>
      <w:r w:rsidRPr="001609BB">
        <w:rPr>
          <w:rFonts w:ascii="Adobe Arabic" w:eastAsia="Times New Roman" w:hAnsi="Adobe Arabic" w:cs="Adobe Arabic"/>
          <w:color w:val="000000"/>
          <w:sz w:val="32"/>
          <w:szCs w:val="32"/>
          <w:rtl/>
        </w:rPr>
        <w:t>. وقد فسّره هو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وبعض الصحابة ممّن عايشوا نزول هذا المقطع من الآية، في موارد كثيرة، تارةً ببيان في مَن نزل، وأخرى بحصر الداخلين تحت مفهوم "أهل البيت" بالجماعة عينها التي نزل فيهم. هذا فضلاً عن أنّ المراد بالعترة وأهل البيت في الحديث واحد؛ إذ إنّ الحديث رُوِي في كثير من الأسانيد -كما مرّ- بلفظ "عترتي أهل بيتي"، و"أهل بيتي" هنا عطف بيان أو بدل كما لا يخفى.</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وعليه، فلا بدّ -لتعيين المراد من أهل البيت- من الرجوع لكلامه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السابق، في تحديد دائرة أفراد هذا المصطلح وتعيينها. وإليكم طائفة</w:t>
      </w:r>
      <w:r w:rsidR="00CF7297">
        <w:rPr>
          <w:rStyle w:val="FootnoteReference"/>
          <w:rFonts w:ascii="Adobe Arabic" w:eastAsia="Times New Roman" w:hAnsi="Adobe Arabic" w:cs="Adobe Arabic"/>
          <w:color w:val="000000"/>
          <w:sz w:val="32"/>
          <w:szCs w:val="32"/>
          <w:rtl/>
        </w:rPr>
        <w:footnoteReference w:id="172"/>
      </w:r>
      <w:r w:rsidRPr="001609BB">
        <w:rPr>
          <w:rFonts w:ascii="Adobe Arabic" w:eastAsia="Times New Roman" w:hAnsi="Adobe Arabic" w:cs="Adobe Arabic"/>
          <w:color w:val="000000"/>
          <w:sz w:val="32"/>
          <w:szCs w:val="32"/>
          <w:rtl/>
        </w:rPr>
        <w:t> من الروايات الصريحة عند الفريقَين في تعيين ذلك.</w:t>
      </w:r>
    </w:p>
    <w:p w:rsidR="00BD4C4D" w:rsidRPr="008103F8" w:rsidRDefault="00BD4C4D" w:rsidP="00CF729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ما رُوِي عند أهل السنّة</w:t>
      </w:r>
      <w:r w:rsidR="00CF7297">
        <w:rPr>
          <w:rStyle w:val="FootnoteReference"/>
          <w:rFonts w:ascii="Adobe Arabic" w:eastAsia="Times New Roman" w:hAnsi="Adobe Arabic" w:cs="Adobe Arabic"/>
          <w:b/>
          <w:bCs/>
          <w:color w:val="000000"/>
          <w:sz w:val="32"/>
          <w:szCs w:val="32"/>
          <w:rtl/>
        </w:rPr>
        <w:footnoteReference w:id="173"/>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03F8">
        <w:rPr>
          <w:rFonts w:ascii="Adobe Arabic" w:eastAsia="Times New Roman" w:hAnsi="Adobe Arabic" w:cs="Adobe Arabic"/>
          <w:color w:val="000000"/>
          <w:sz w:val="32"/>
          <w:szCs w:val="32"/>
          <w:rtl/>
        </w:rPr>
        <w:t>أ. ففي مسند أحمد ما ورد بثلاثة أسانيد، منها:</w:t>
      </w:r>
    </w:p>
    <w:p w:rsidR="00BD4C4D" w:rsidRPr="001609BB" w:rsidRDefault="00BD4C4D" w:rsidP="00CF72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حدّثَنا عبد الله: حدّثني أبي ثنا عبد الله بن نمير، قال حدّثَنا عبد الملك -يعني ابن أبي سليمان- عن عطاء بن أبى رباح، قال: حدّثَني مَن سمع أمَّ سلمة تذكر: أنّ النبيّ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كان في بيتها، فأتته فاطمة ببرمة فيها خزيرة</w:t>
      </w:r>
      <w:r w:rsidR="00CF7297">
        <w:rPr>
          <w:rStyle w:val="FootnoteReference"/>
          <w:rFonts w:ascii="Adobe Arabic" w:eastAsia="Times New Roman" w:hAnsi="Adobe Arabic" w:cs="Adobe Arabic"/>
          <w:color w:val="000000"/>
          <w:sz w:val="32"/>
          <w:szCs w:val="32"/>
          <w:rtl/>
        </w:rPr>
        <w:footnoteReference w:id="174"/>
      </w:r>
      <w:r w:rsidRPr="001609BB">
        <w:rPr>
          <w:rFonts w:ascii="Adobe Arabic" w:eastAsia="Times New Roman" w:hAnsi="Adobe Arabic" w:cs="Adobe Arabic"/>
          <w:color w:val="000000"/>
          <w:sz w:val="32"/>
          <w:szCs w:val="32"/>
          <w:rtl/>
        </w:rPr>
        <w:t> فدخلَتْ عليه، فقال لها: ادعي زوجك وابنيك. قالت: فجاء عليّ والحسين والحسن، فدخلوا عليه، فجلسوا يأكلون من تلك الخزيرة، وهو على منامة على دكّان تحته كساء له خيبريّ. قالت: وأنا أصلّي في الحجرة، فأنزل الله عزَّ وجلَّ هذه الآية: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وَيُطَهِّرَكُمۡ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تَطۡهِيرا﴾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قالت</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فأخذ</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فضل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الكساء،</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فغشّاهم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به،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ثم</w:t>
      </w:r>
      <w:r w:rsidRPr="001609BB">
        <w:rPr>
          <w:rFonts w:ascii="Adobe Arabic" w:eastAsia="Times New Roman" w:hAnsi="Adobe Arabic" w:cs="Adobe Arabic"/>
          <w:color w:val="000000"/>
          <w:sz w:val="32"/>
          <w:szCs w:val="32"/>
          <w:rtl/>
        </w:rPr>
        <w:t xml:space="preserve"> أخرج يدَ</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فألوى بها إلى السماء، ثمّ قال: اللهم هؤلاء أهل بيتي وخاصّتي، فأذهِب عنهم الرجسَ، وطهِّرهم تطهيرًا. اللهمّ، هؤلاء أهل بيتي وخاصّتي، فأذهِب عنهم الرجسَ، وطهِّرهم تطهيرًا. قالت: فأدخلتُ رأسي البيت، فقلتُ: وأنا معكم يا رسول الله؟ قال: إنّكِ إلى خير، إنّك إلى خير. قال عبد الملك: وحدّثَني أبو ليلى عن أمّ سلمة مثلَ حديثِ عطاء سواء. قال عبد الملك: وحدّثَني داود بن أبي عوف الحجاف عن حوشب عن أمّ سلمة بمثله سواء"</w:t>
      </w:r>
      <w:r w:rsidR="00CF7297">
        <w:rPr>
          <w:rStyle w:val="FootnoteReference"/>
          <w:rFonts w:ascii="Adobe Arabic" w:eastAsia="Times New Roman" w:hAnsi="Adobe Arabic" w:cs="Adobe Arabic"/>
          <w:color w:val="000000"/>
          <w:sz w:val="32"/>
          <w:szCs w:val="32"/>
          <w:rtl/>
        </w:rPr>
        <w:footnoteReference w:id="175"/>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0E5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ب. حَدَّثَنَا أَبُو أَحْمَدَ الزُّبَيْرِيُّ: حَدَّثَنَا سُفْيَانُ، عَنْ زُبَيْدٍ، عَنْ شَهْرِ بْنِ حَوْشَبٍ، عَنْ أُمِّ سَلَمَةَ، أَنَّ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جَلَّلَ عَلَى عَلِيٍّ وَحَسَنٍ وَحُسَيْنٍ وَفَاطِمَةَ كِسَاءً، ثُمَّ قَالَ: "اللهُمَّ، هَؤُلَاءِ أَهْلُ بَيْتِي وَحَامَّتِي. اللهُمَّ، أَذْهِبْ عَنْهُمُ الرِّجْسَ، وَطَهِّرْهُمْ تَطْهِيرًا". فَقَالَتْ أُمُّ سَلَمَةَ: فَقُلْتُ: يَا رَسُولَ اللهِ، أَنَا مِنْهُمْ؟ قَالَ: "إِنَّكِ إِلَى خَيْر"</w:t>
      </w:r>
      <w:r w:rsidR="000E558B">
        <w:rPr>
          <w:rStyle w:val="FootnoteReference"/>
          <w:rFonts w:ascii="Adobe Arabic" w:eastAsia="Times New Roman" w:hAnsi="Adobe Arabic" w:cs="Adobe Arabic"/>
          <w:color w:val="000000"/>
          <w:sz w:val="32"/>
          <w:szCs w:val="32"/>
          <w:rtl/>
        </w:rPr>
        <w:footnoteReference w:id="176"/>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نبذة ممّا روي عند الشيعة</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 عن أبي بصير، عن الصادق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في حديث طويل: "وقال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أوصيكم بكتاب الله وأهل بيتي، فإنّي سألتُ الله عزّ وجلّ أن لا يفرّق بينهما، حتّى يوردهما عَلَيَّ الحوض، فأعطاني ذلك. وقال: لا تعلّموهم، فهم أعلم منكم. وقال: إنّهم لن يُخرِجوكم من بابِ هدى، ولن يُدخِلوكم في باب ضلالة. فلو سكت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فلم يبيّن مَن أهل بيته، لادّعاها آلُ فلان وآلُ فلان، لكنّ الله عزَّ وجلَّ أنزله في كتابه تصديقًا لنبيّه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وَيُطَهِّرَكُمۡ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تَطۡهِيرا﴾</w:t>
      </w:r>
      <w:r w:rsidRPr="001609BB">
        <w:rPr>
          <w:rFonts w:ascii="Adobe Arabic" w:eastAsia="Times New Roman" w:hAnsi="Adobe Arabic" w:cs="Adobe Arabic" w:hint="cs"/>
          <w:color w:val="000000"/>
          <w:sz w:val="32"/>
          <w:szCs w:val="32"/>
          <w:rtl/>
        </w:rPr>
        <w:t>، فكان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عليٌّ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والحسن</w:t>
      </w:r>
      <w:r w:rsidRPr="001609BB">
        <w:rPr>
          <w:rFonts w:ascii="Adobe Arabic" w:eastAsia="Times New Roman" w:hAnsi="Adobe Arabic" w:cs="Adobe Arabic"/>
          <w:color w:val="000000"/>
          <w:sz w:val="32"/>
          <w:szCs w:val="32"/>
          <w:rtl/>
        </w:rPr>
        <w:t xml:space="preserve"> والحسين وفاطمة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فأدخلهم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xml:space="preserve"> تحت الكساء في بيت أمّ سلمة: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0E5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اللهمَّ، إنّ لكلّ نبيّ أهلًا وثقلًا، وهؤلاء أهل بيتي وثقلي، فقالت أمّ سلمة: ألست من أهلك؟ فقال: إنّكِ إلى خير، ولكن هؤلاء أهلي وثقلي"</w:t>
      </w:r>
      <w:r w:rsidR="000E558B">
        <w:rPr>
          <w:rStyle w:val="FootnoteReference"/>
          <w:rFonts w:ascii="Adobe Arabic" w:eastAsia="Times New Roman" w:hAnsi="Adobe Arabic" w:cs="Adobe Arabic"/>
          <w:color w:val="000000"/>
          <w:sz w:val="32"/>
          <w:szCs w:val="32"/>
          <w:rtl/>
        </w:rPr>
        <w:footnoteReference w:id="177"/>
      </w:r>
      <w:r w:rsidRPr="001609BB">
        <w:rPr>
          <w:rFonts w:ascii="Adobe Arabic" w:eastAsia="Times New Roman" w:hAnsi="Adobe Arabic" w:cs="Adobe Arabic"/>
          <w:color w:val="000000"/>
          <w:sz w:val="32"/>
          <w:szCs w:val="32"/>
          <w:rtl/>
        </w:rPr>
        <w:t>.</w:t>
      </w:r>
    </w:p>
    <w:p w:rsidR="00BD4C4D" w:rsidRPr="001609BB" w:rsidRDefault="00BD4C4D" w:rsidP="000E5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ب. الصدوق في علل الشرائع: "أبي</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قال: حدّثَنا سعد بن عبد الله عن الحسن بن موسى الخشاب عن عليّ بن حسان الواسطيّ، عن عمّه عبد الرحمن بن كثير، قال: "قلت لأبي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ما عنى الله عزَّ وجلَّ بقوله: </w:t>
      </w:r>
      <w:r w:rsidRPr="008711A0">
        <w:rPr>
          <w:rFonts w:ascii="Traditional Arabic" w:eastAsia="Times New Roman" w:hAnsi="Traditional Arabic" w:cs="Traditional Arabic"/>
          <w:b/>
          <w:bCs/>
          <w:color w:val="538135" w:themeColor="accent6" w:themeShade="BF"/>
          <w:sz w:val="32"/>
          <w:szCs w:val="32"/>
          <w:rtl/>
        </w:rPr>
        <w:t>﴿إِنَّمَا يُرِيدُ ٱللَّهُ لِيُذ</w:t>
      </w:r>
      <w:r w:rsidRPr="008711A0">
        <w:rPr>
          <w:rFonts w:ascii="Traditional Arabic" w:eastAsia="Times New Roman" w:hAnsi="Traditional Arabic" w:cs="Traditional Arabic" w:hint="cs"/>
          <w:b/>
          <w:bCs/>
          <w:color w:val="538135" w:themeColor="accent6" w:themeShade="BF"/>
          <w:sz w:val="32"/>
          <w:szCs w:val="32"/>
          <w:rtl/>
        </w:rPr>
        <w:t>ۡهِبَ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ٱلرِّجۡسَ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وَيُطَهِّرَكُمۡ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تَطۡهِيرا﴾</w:t>
      </w:r>
      <w:r w:rsidRPr="001609BB">
        <w:rPr>
          <w:rFonts w:ascii="Adobe Arabic" w:eastAsia="Times New Roman" w:hAnsi="Adobe Arabic" w:cs="Adobe Arabic" w:hint="cs"/>
          <w:color w:val="000000"/>
          <w:sz w:val="32"/>
          <w:szCs w:val="32"/>
          <w:rtl/>
        </w:rPr>
        <w:t>؟</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قال</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نزلَتْ</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النبيّ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وأمير</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المؤمنين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والحسن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والحسين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وفاطمة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w:t>
      </w:r>
      <w:r w:rsidR="000E558B">
        <w:rPr>
          <w:rStyle w:val="FootnoteReference"/>
          <w:rFonts w:ascii="Adobe Arabic" w:eastAsia="Times New Roman" w:hAnsi="Adobe Arabic" w:cs="Adobe Arabic"/>
          <w:color w:val="000000"/>
          <w:sz w:val="32"/>
          <w:szCs w:val="32"/>
          <w:rtl/>
        </w:rPr>
        <w:footnoteReference w:id="178"/>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4" w:name="_Toc155869530"/>
      <w:r w:rsidRPr="00465CD4">
        <w:rPr>
          <w:rFonts w:ascii="Adobe Arabic" w:eastAsia="Times New Roman" w:hAnsi="Adobe Arabic" w:cs="Adobe Arabic"/>
          <w:b/>
          <w:bCs/>
          <w:color w:val="996633"/>
          <w:sz w:val="36"/>
          <w:szCs w:val="36"/>
          <w:rtl/>
        </w:rPr>
        <w:t>رابعًا: في دلالة الحديث على عدم افتراق القرآن والعترة</w:t>
      </w:r>
      <w:bookmarkEnd w:id="34"/>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قوله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"إنّهما لن يفترقا حتّى يَرِدا عَلَيَّ الحوض"، وما بمعناه من العبارات في ذيل الحديث، هو بمثابة تعليل للوصيّة بالثقلَين، وجعلهما مرجعًا للأمّة بعد رحيله، يأمن المتمسّك بهما من الضلال. وهذه العبارة المرويّة بطرق مستفيضة، إن لم نقل متواترة، عند الفريقَين، لها نتائج على مختلف المستويات العقديّة والأصوليّة، إلّا إنّنا سنكتفي بما يناسب المقام في ما يأتي:</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التلازم في الوجود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مقتضى جعلهما في معرض التمسّك للأمّة للأمن من الضلال مِن قِبَله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يفترض مسبقًا بقاءهما في الأمّة، ما بقي التكليف بذلك. ومن الواضح أنّ بقاء كلّ من الثقلَين بحسبه؛ فبقاء القرآن الكريم في الأمّة بوجوده اللفظيّ بين الدفّتَين، وبقاء العترة يكون ببقاء مَن هو أهلٌ للتمسّك منها في الأمّة.</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هذا مقتضى الأمر بالتمسّك، فكيف إذا صرّح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بأنّهما لن يفترقا حتّى يَرِدا عليه الحوض؟ والقرآن باق كمعجزة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xml:space="preserve"> الأزليّة، وحجّته على العالمين إلى يوم الدين،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فكذلك العترة، وإلّا وَقَعَ الافتراقُ في الوجود بينهما في هذه الدنيا، وهو ما نفاه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w:t>
      </w:r>
    </w:p>
    <w:p w:rsidR="00BD4C4D" w:rsidRPr="001609BB" w:rsidRDefault="00BD4C4D" w:rsidP="000E5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صرّح غير واحد من علماء الفريقَين باستفادة هذه النتيجة من الحديث الشريف. قال السمهوديّ: "إنّ ذلك يفهم وجود من يكون أهلًا للتمسّك به من أهل البيت والعترة الطاهرة في كلّ زمان وُجِدوا فيه، إلى قيام الساعة، حتّى يتوجَّه الحثّ المذكور إلى التمسّك به، كما أنّ الكتاب العزيز كذلك، ولهذا كانوا أمانًا لأهل الأرض</w:t>
      </w:r>
      <w:r w:rsidR="000E558B">
        <w:rPr>
          <w:rStyle w:val="FootnoteReference"/>
          <w:rFonts w:ascii="Adobe Arabic" w:eastAsia="Times New Roman" w:hAnsi="Adobe Arabic" w:cs="Adobe Arabic"/>
          <w:color w:val="000000"/>
          <w:sz w:val="32"/>
          <w:szCs w:val="32"/>
          <w:rtl/>
        </w:rPr>
        <w:footnoteReference w:id="179"/>
      </w:r>
      <w:r w:rsidRPr="001609BB">
        <w:rPr>
          <w:rFonts w:ascii="Adobe Arabic" w:eastAsia="Times New Roman" w:hAnsi="Adobe Arabic" w:cs="Adobe Arabic"/>
          <w:color w:val="000000"/>
          <w:sz w:val="32"/>
          <w:szCs w:val="32"/>
          <w:rtl/>
        </w:rPr>
        <w:t>، فإذا ذهبوا ذهب أهل الأرض"</w:t>
      </w:r>
      <w:r w:rsidR="000E558B">
        <w:rPr>
          <w:rStyle w:val="FootnoteReference"/>
          <w:rFonts w:ascii="Adobe Arabic" w:eastAsia="Times New Roman" w:hAnsi="Adobe Arabic" w:cs="Adobe Arabic"/>
          <w:color w:val="000000"/>
          <w:sz w:val="32"/>
          <w:szCs w:val="32"/>
          <w:rtl/>
        </w:rPr>
        <w:footnoteReference w:id="180"/>
      </w:r>
      <w:r w:rsidRPr="001609BB">
        <w:rPr>
          <w:rFonts w:ascii="Adobe Arabic" w:eastAsia="Times New Roman" w:hAnsi="Adobe Arabic" w:cs="Adobe Arabic"/>
          <w:color w:val="000000"/>
          <w:sz w:val="32"/>
          <w:szCs w:val="32"/>
          <w:rtl/>
        </w:rPr>
        <w:t>.</w:t>
      </w:r>
    </w:p>
    <w:p w:rsidR="00BD4C4D" w:rsidRPr="001609BB" w:rsidRDefault="00BD4C4D" w:rsidP="000E5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وقال ابن حجر الهيثميّ: "وفي أحاديث الحثّ على التمسّك بأهل البيت، إشارةٌ إلى عدم انقطاع متأهّل منهم للتمسّك به إلى يوم القيامة، كما أنّ الكتاب العزيز كذلك؛ ولهذا كانوا أمانًا لأهل الأرض، كما يأتي، ويشهد لذلك الخبرُ السابقُ: في كلّ خلف من أمّتي عدول من أهل بيتي</w:t>
      </w:r>
      <w:r w:rsidR="000E558B">
        <w:rPr>
          <w:rStyle w:val="FootnoteReference"/>
          <w:rFonts w:ascii="Adobe Arabic" w:eastAsia="Times New Roman" w:hAnsi="Adobe Arabic" w:cs="Adobe Arabic"/>
          <w:color w:val="000000"/>
          <w:sz w:val="32"/>
          <w:szCs w:val="32"/>
          <w:rtl/>
        </w:rPr>
        <w:footnoteReference w:id="181"/>
      </w:r>
      <w:r w:rsidRPr="001609BB">
        <w:rPr>
          <w:rFonts w:ascii="Adobe Arabic" w:eastAsia="Times New Roman" w:hAnsi="Adobe Arabic" w:cs="Adobe Arabic"/>
          <w:color w:val="000000"/>
          <w:sz w:val="32"/>
          <w:szCs w:val="32"/>
          <w:rtl/>
        </w:rPr>
        <w:t>، إلى آخره"</w:t>
      </w:r>
      <w:r w:rsidR="000E558B">
        <w:rPr>
          <w:rStyle w:val="FootnoteReference"/>
          <w:rFonts w:ascii="Adobe Arabic" w:eastAsia="Times New Roman" w:hAnsi="Adobe Arabic" w:cs="Adobe Arabic"/>
          <w:color w:val="000000"/>
          <w:sz w:val="32"/>
          <w:szCs w:val="32"/>
          <w:rtl/>
        </w:rPr>
        <w:footnoteReference w:id="182"/>
      </w:r>
      <w:r w:rsidRPr="001609BB">
        <w:rPr>
          <w:rFonts w:ascii="Adobe Arabic" w:eastAsia="Times New Roman" w:hAnsi="Adobe Arabic" w:cs="Adobe Arabic"/>
          <w:color w:val="000000"/>
          <w:sz w:val="32"/>
          <w:szCs w:val="32"/>
          <w:rtl/>
        </w:rPr>
        <w:t>.</w:t>
      </w:r>
    </w:p>
    <w:p w:rsidR="00BD4C4D" w:rsidRPr="001609BB" w:rsidRDefault="00BD4C4D" w:rsidP="000E558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ولا يخفى أنّ ما ذكره هذان العَلَمان، إذا ما أُضِيفَ إلى المضمون المتواتر بين المسلمين، من كون الأئمّة اثنَي عشر</w:t>
      </w:r>
      <w:r w:rsidR="000E558B">
        <w:rPr>
          <w:rStyle w:val="FootnoteReference"/>
          <w:rFonts w:ascii="Adobe Arabic" w:eastAsia="Times New Roman" w:hAnsi="Adobe Arabic" w:cs="Adobe Arabic"/>
          <w:color w:val="000000"/>
          <w:sz w:val="32"/>
          <w:szCs w:val="32"/>
          <w:rtl/>
        </w:rPr>
        <w:footnoteReference w:id="183"/>
      </w:r>
      <w:r w:rsidRPr="001609BB">
        <w:rPr>
          <w:rFonts w:ascii="Adobe Arabic" w:eastAsia="Times New Roman" w:hAnsi="Adobe Arabic" w:cs="Adobe Arabic"/>
          <w:color w:val="000000"/>
          <w:sz w:val="32"/>
          <w:szCs w:val="32"/>
          <w:rtl/>
        </w:rPr>
        <w:t>، أصبح كالصريح في مذهب الإماميّة (أعزّها الله تعالى).</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 ذلك، يظهر أنّ مصطلح "أهل البيت" في الحديث لا ينحصر بالخمسة المطهّرين أصحاب العبا الذين نزلت فيهم آية التطهير</w:t>
      </w:r>
      <w:r w:rsidR="00DB2D06">
        <w:rPr>
          <w:rStyle w:val="FootnoteReference"/>
          <w:rFonts w:ascii="Adobe Arabic" w:eastAsia="Times New Roman" w:hAnsi="Adobe Arabic" w:cs="Adobe Arabic"/>
          <w:color w:val="000000"/>
          <w:sz w:val="32"/>
          <w:szCs w:val="32"/>
          <w:rtl/>
        </w:rPr>
        <w:footnoteReference w:id="184"/>
      </w:r>
      <w:r w:rsidRPr="001609BB">
        <w:rPr>
          <w:rFonts w:ascii="Adobe Arabic" w:eastAsia="Times New Roman" w:hAnsi="Adobe Arabic" w:cs="Adobe Arabic"/>
          <w:color w:val="000000"/>
          <w:sz w:val="32"/>
          <w:szCs w:val="32"/>
          <w:rtl/>
        </w:rPr>
        <w:t>، بل يمتدّ إلى مَن كان من الذرّيّة الطاهرة عِدلًا للكتاب. وتحديد هويّة هؤلاء وتعيينهم موكولٌ إلى الكتب المختصّة، فليُطلَب من مظانّه.</w:t>
      </w:r>
    </w:p>
    <w:p w:rsidR="004478EB" w:rsidRDefault="004478EB">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lastRenderedPageBreak/>
        <w:t>2. التلازم في الكمال والصفات</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من لوازم عدم الافتراق في كلامه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أنّ كلّ ما ثبت للقرآن الكريم من صفات كماليّة، فهو ثابت بالضرورة للعترة الطاهرة، وإلّا وقع الافتراق بينهما.</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 نتائج ذلك، عصمة العترة عن الذنب والخطأ والضلال، ككتاب الله تعالى:</w:t>
      </w:r>
      <w:r w:rsidR="004478EB">
        <w:rPr>
          <w:rFonts w:ascii="Adobe Arabic" w:eastAsia="Times New Roman" w:hAnsi="Adobe Arabic" w:cs="Adobe Arabic"/>
          <w:color w:val="000000"/>
          <w:sz w:val="32"/>
          <w:szCs w:val="32"/>
        </w:rPr>
        <w:t xml:space="preserve"> </w:t>
      </w:r>
      <w:r w:rsidRPr="008711A0">
        <w:rPr>
          <w:rFonts w:ascii="Traditional Arabic" w:eastAsia="Times New Roman" w:hAnsi="Traditional Arabic" w:cs="Traditional Arabic"/>
          <w:b/>
          <w:bCs/>
          <w:color w:val="538135" w:themeColor="accent6" w:themeShade="BF"/>
          <w:sz w:val="32"/>
          <w:szCs w:val="32"/>
          <w:rtl/>
        </w:rPr>
        <w:t>﴿وَإِنَّهُ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عَزِيز</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٤١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يَأۡتِيهِ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ٱلۡبَٰطِلُ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يَدَيۡهِ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خَلۡفِهِۦۖ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تَنزِيل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حَكِيمٍ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حَمِيد﴾</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85"/>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 نتائج ذلك، هو ما يعنينا في المقام، من علم العترة بكلّ ما في الكتاب، خاصّه وعامّه، محكمه ومتشابهه، ظاهره وباطنه، وتأويله.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وبناءً على ما تقدّم، يظهر -بما لا يقبل الشكّ- حجّيّة أقوالهم وأفعالهم وتقريراتهم؛ كونها لا تفارق الكتاب العزيز.</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وبما أنّهم لا يخرجون في أقوالهم وأفعالهم وتقريراتهم عن القرآن والسنّة -كما أوضحنا في مقدّمة البحث عن الحديث الشريف- يتّضح أنّ السنّة الواقعيّة للنبيّ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التي ورثها أهل بيته الطاهرون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لا يمكن أن تفترق -بحال من الأحوال-</w:t>
      </w:r>
      <w:r w:rsidR="00DB2D06">
        <w:rPr>
          <w:rStyle w:val="FootnoteReference"/>
          <w:rFonts w:ascii="Adobe Arabic" w:eastAsia="Times New Roman" w:hAnsi="Adobe Arabic" w:cs="Adobe Arabic"/>
          <w:color w:val="000000"/>
          <w:sz w:val="32"/>
          <w:szCs w:val="32"/>
          <w:rtl/>
        </w:rPr>
        <w:footnoteReference w:id="186"/>
      </w:r>
      <w:r w:rsidRPr="001609BB">
        <w:rPr>
          <w:rFonts w:ascii="Adobe Arabic" w:eastAsia="Times New Roman" w:hAnsi="Adobe Arabic" w:cs="Adobe Arabic"/>
          <w:color w:val="000000"/>
          <w:sz w:val="32"/>
          <w:szCs w:val="32"/>
          <w:rtl/>
        </w:rPr>
        <w:t> عن الكتاب العزيز، من ناحية المضمون، بنصّ حديث الثقلَين المتواتر لدى المسلمين جميعًا.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أكّد الكتاب العزيز على وجود أفراد من الأمّة لديهم هذه الميّزات في جملة من آياته الشريفة منها:</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t>﴿بَل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صُدُورِ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أُوتُواْ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ٱلۡعِلۡمَۚ﴾</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87"/>
      </w:r>
      <w:r w:rsidRPr="001609BB">
        <w:rPr>
          <w:rFonts w:ascii="Adobe Arabic" w:eastAsia="Times New Roman" w:hAnsi="Adobe Arabic" w:cs="Adobe Arabic"/>
          <w:color w:val="000000"/>
          <w:sz w:val="32"/>
          <w:szCs w:val="32"/>
          <w:rtl/>
        </w:rPr>
        <w:t>.</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t>﴿إِنَّهُ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لَقُرۡءَان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كَرِيم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٧٧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مَّكۡنُون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٧٨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يَمَسُّهُۥٓ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w:t>
      </w:r>
      <w:r w:rsidRPr="008711A0">
        <w:rPr>
          <w:rFonts w:ascii="Traditional Arabic" w:eastAsia="Times New Roman" w:hAnsi="Traditional Arabic" w:cs="Traditional Arabic"/>
          <w:b/>
          <w:bCs/>
          <w:color w:val="538135" w:themeColor="accent6" w:themeShade="BF"/>
          <w:sz w:val="32"/>
          <w:szCs w:val="32"/>
          <w:rtl/>
        </w:rPr>
        <w:t>مُطَهَّرُونَ﴾</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88"/>
      </w:r>
      <w:r w:rsidRPr="001609BB">
        <w:rPr>
          <w:rFonts w:ascii="Adobe Arabic" w:eastAsia="Times New Roman" w:hAnsi="Adobe Arabic" w:cs="Adobe Arabic"/>
          <w:color w:val="000000"/>
          <w:sz w:val="32"/>
          <w:szCs w:val="32"/>
          <w:rtl/>
        </w:rPr>
        <w:t>،</w:t>
      </w:r>
      <w:r w:rsidR="00DB2D06">
        <w:rPr>
          <w:rStyle w:val="FootnoteReference"/>
          <w:rFonts w:ascii="Adobe Arabic" w:eastAsia="Times New Roman" w:hAnsi="Adobe Arabic" w:cs="Adobe Arabic"/>
          <w:color w:val="000000"/>
          <w:sz w:val="32"/>
          <w:szCs w:val="32"/>
          <w:rtl/>
        </w:rPr>
        <w:footnoteReference w:id="189"/>
      </w:r>
      <w:r w:rsidRPr="001609BB">
        <w:rPr>
          <w:rFonts w:ascii="Adobe Arabic" w:eastAsia="Times New Roman" w:hAnsi="Adobe Arabic" w:cs="Adobe Arabic"/>
          <w:color w:val="000000"/>
          <w:sz w:val="32"/>
          <w:szCs w:val="32"/>
          <w:rtl/>
        </w:rPr>
        <w:t>.</w:t>
      </w:r>
    </w:p>
    <w:p w:rsidR="004478EB" w:rsidRDefault="004478EB">
      <w:pPr>
        <w:rPr>
          <w:rFonts w:ascii="Traditional Arabic" w:eastAsia="Times New Roman" w:hAnsi="Traditional Arabic" w:cs="Traditional Arabic"/>
          <w:b/>
          <w:bCs/>
          <w:color w:val="538135" w:themeColor="accent6" w:themeShade="BF"/>
          <w:sz w:val="32"/>
          <w:szCs w:val="32"/>
          <w:rtl/>
        </w:rPr>
      </w:pPr>
      <w:r>
        <w:rPr>
          <w:rFonts w:ascii="Traditional Arabic" w:eastAsia="Times New Roman" w:hAnsi="Traditional Arabic" w:cs="Traditional Arabic"/>
          <w:b/>
          <w:bCs/>
          <w:color w:val="538135" w:themeColor="accent6" w:themeShade="BF"/>
          <w:sz w:val="32"/>
          <w:szCs w:val="32"/>
          <w:rtl/>
        </w:rPr>
        <w:br w:type="page"/>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lastRenderedPageBreak/>
        <w:t>﴿هُوَ ٱلَّذِيٓ أَنزَلَ عَلَي</w:t>
      </w:r>
      <w:r w:rsidRPr="008711A0">
        <w:rPr>
          <w:rFonts w:ascii="Traditional Arabic" w:eastAsia="Times New Roman" w:hAnsi="Traditional Arabic" w:cs="Traditional Arabic" w:hint="cs"/>
          <w:b/>
          <w:bCs/>
          <w:color w:val="538135" w:themeColor="accent6" w:themeShade="BF"/>
          <w:sz w:val="32"/>
          <w:szCs w:val="32"/>
          <w:rtl/>
        </w:rPr>
        <w:t>ۡكَ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مُّحۡكَمَٰتٌ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وَأُخَر</w:t>
      </w:r>
      <w:r w:rsidRPr="008711A0">
        <w:rPr>
          <w:rFonts w:ascii="Traditional Arabic" w:eastAsia="Times New Roman" w:hAnsi="Traditional Arabic" w:cs="Traditional Arabic"/>
          <w:b/>
          <w:bCs/>
          <w:color w:val="538135" w:themeColor="accent6" w:themeShade="BF"/>
          <w:sz w:val="32"/>
          <w:szCs w:val="32"/>
          <w:rtl/>
        </w:rPr>
        <w:t>ُ مُتَشَٰبِهَٰت</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فَأَمَّا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قُلُوبِهِمۡ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زَيۡغ</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فَيَتَّبِعُونَ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تَشَٰبَهَ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ٱبۡتِغَآءَ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ٱلۡفِتۡنَةِ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وَٱبۡتِغَآءَ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وَٱلرَّٰسِخُونَ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ٱلۡعِلۡمِ﴾</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90"/>
      </w:r>
      <w:r w:rsidR="00DB2D06">
        <w:rPr>
          <w:rStyle w:val="FootnoteReference"/>
          <w:rFonts w:ascii="Traditional Arabic" w:eastAsia="Times New Roman" w:hAnsi="Traditional Arabic" w:cs="Traditional Arabic"/>
          <w:b/>
          <w:bCs/>
          <w:color w:val="538135" w:themeColor="accent6" w:themeShade="BF"/>
          <w:sz w:val="32"/>
          <w:szCs w:val="32"/>
          <w:rtl/>
        </w:rPr>
        <w:footnoteReference w:id="191"/>
      </w:r>
      <w:r w:rsidRPr="001609BB">
        <w:rPr>
          <w:rFonts w:ascii="Adobe Arabic" w:eastAsia="Times New Roman" w:hAnsi="Adobe Arabic" w:cs="Adobe Arabic"/>
          <w:color w:val="000000"/>
          <w:sz w:val="32"/>
          <w:szCs w:val="32"/>
          <w:rtl/>
        </w:rPr>
        <w:t>.</w:t>
      </w:r>
    </w:p>
    <w:p w:rsidR="004478E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b/>
          <w:bCs/>
          <w:color w:val="538135" w:themeColor="accent6" w:themeShade="BF"/>
          <w:sz w:val="32"/>
          <w:szCs w:val="32"/>
          <w:rtl/>
        </w:rPr>
        <w:t>﴿وَيَقُولُ ٱلَّذِينَ كَفَرُواْ لَس</w:t>
      </w:r>
      <w:r w:rsidRPr="008711A0">
        <w:rPr>
          <w:rFonts w:ascii="Traditional Arabic" w:eastAsia="Times New Roman" w:hAnsi="Traditional Arabic" w:cs="Traditional Arabic" w:hint="cs"/>
          <w:b/>
          <w:bCs/>
          <w:color w:val="538135" w:themeColor="accent6" w:themeShade="BF"/>
          <w:sz w:val="32"/>
          <w:szCs w:val="32"/>
          <w:rtl/>
        </w:rPr>
        <w:t>ۡتَ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مُرۡسَلاۚ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كَفَىٰ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شَهِيدَۢا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وَبَيۡنَكُمۡ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عِندَهُۥ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92"/>
      </w:r>
      <w:r w:rsidRPr="001609BB">
        <w:rPr>
          <w:rFonts w:ascii="Adobe Arabic" w:eastAsia="Times New Roman" w:hAnsi="Adobe Arabic" w:cs="Adobe Arabic"/>
          <w:color w:val="000000"/>
          <w:sz w:val="32"/>
          <w:szCs w:val="32"/>
          <w:rtl/>
        </w:rPr>
        <w:t>،</w:t>
      </w:r>
      <w:r w:rsidR="00DB2D06">
        <w:rPr>
          <w:rStyle w:val="FootnoteReference"/>
          <w:rFonts w:ascii="Adobe Arabic" w:eastAsia="Times New Roman" w:hAnsi="Adobe Arabic" w:cs="Adobe Arabic"/>
          <w:color w:val="000000"/>
          <w:sz w:val="32"/>
          <w:szCs w:val="32"/>
          <w:rtl/>
        </w:rPr>
        <w:footnoteReference w:id="193"/>
      </w:r>
      <w:r w:rsidRPr="001609BB">
        <w:rPr>
          <w:rFonts w:ascii="Adobe Arabic" w:eastAsia="Times New Roman" w:hAnsi="Adobe Arabic" w:cs="Adobe Arabic"/>
          <w:color w:val="000000"/>
          <w:sz w:val="32"/>
          <w:szCs w:val="32"/>
          <w:rtl/>
        </w:rPr>
        <w:t>.</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35" w:name="_Toc155869531"/>
      <w:r w:rsidRPr="0064226D">
        <w:rPr>
          <w:rFonts w:ascii="Adobe Arabic" w:eastAsia="Times New Roman" w:hAnsi="Adobe Arabic" w:cs="Adobe Arabic"/>
          <w:b/>
          <w:bCs/>
          <w:color w:val="538135" w:themeColor="accent6" w:themeShade="BF"/>
          <w:sz w:val="40"/>
          <w:szCs w:val="40"/>
          <w:rtl/>
        </w:rPr>
        <w:lastRenderedPageBreak/>
        <w:t>الدرس الثامن</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العلاقة بين القرآن والسنّة الواقعيّة</w:t>
      </w:r>
      <w:bookmarkEnd w:id="35"/>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أقسام السنّة بالنظر للقرآن الكريم.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يدرك علاقة الحجّيّة بين القرآن والسنّة في المصدريّة العلمية.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يدرك علاقة الحجّيّة بين القرآن والسنّة في تبيين السنّة للقرآن.</w:t>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6" w:name="_Toc155869532"/>
      <w:r w:rsidRPr="00465CD4">
        <w:rPr>
          <w:rFonts w:ascii="Adobe Arabic" w:eastAsia="Times New Roman" w:hAnsi="Adobe Arabic" w:cs="Adobe Arabic"/>
          <w:b/>
          <w:bCs/>
          <w:color w:val="996633"/>
          <w:sz w:val="36"/>
          <w:szCs w:val="36"/>
          <w:rtl/>
        </w:rPr>
        <w:lastRenderedPageBreak/>
        <w:t>تمهيد</w:t>
      </w:r>
      <w:bookmarkEnd w:id="36"/>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قد تبيّن من تفصيل مضامين حديث الثقلَين، أنّ المحيط بمرادات الله تعالى الواقعيّة في القرآن الكريم، هم العترة الطاهرة؛ ولذا، فإنّ علاقتهم بالكتاب من حيث الحجّيّة، مختلفة عن علاقة غيرهم به، فهم لا يفارقون الكتاب ولا يفارقهم، فيما غيرهم مأمور للأمن من الضلال بالتمسّك بهم وبالقرآن الكريم، بمقتضى الحديث الشريف.</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وهذا الفرق المذكور بين العترة وباقي المكلّفين، يجعل من الضروريّ أن نتطرّق لبحث أخّرناه عن بحوث حديث الثقلَين، لإفراده ببحث مستقلّ، وهو بحث كيفيّة "التمسّك" المطلوب من الأمّة بالثقلَين.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وما يعنينا في هذا المقام من بحث "التمسّك"، هو علاقة القرآن والسنّة الشريفة من حيث ترتُّب حجّيّة أحدهما على الآخر، أو عدمه للأمّة، في سياق تحصيلها للمعارف الإلهيّة النظريّة والعمليّة، من القرآن والسنّة. وسنتناول ذلك بالبحث ثبوتًا وإثباتًا.</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قُسِّمَت</w:t>
      </w:r>
      <w:r w:rsidR="00DB2D06">
        <w:rPr>
          <w:rStyle w:val="FootnoteReference"/>
          <w:rFonts w:ascii="Adobe Arabic" w:eastAsia="Times New Roman" w:hAnsi="Adobe Arabic" w:cs="Adobe Arabic"/>
          <w:color w:val="000000"/>
          <w:sz w:val="32"/>
          <w:szCs w:val="32"/>
          <w:rtl/>
        </w:rPr>
        <w:footnoteReference w:id="194"/>
      </w:r>
      <w:r w:rsidRPr="001609BB">
        <w:rPr>
          <w:rFonts w:ascii="Adobe Arabic" w:eastAsia="Times New Roman" w:hAnsi="Adobe Arabic" w:cs="Adobe Arabic"/>
          <w:color w:val="000000"/>
          <w:sz w:val="32"/>
          <w:szCs w:val="32"/>
          <w:rtl/>
        </w:rPr>
        <w:t> السنّة الشريفة، بالنظر للقرآن الكريم، إلى ثلاثة أقسام رئيسة، هي: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السنّة المؤكّدة والمقرِّرة لِما ورد في القرآن الكريم: وذلك كالسنّة التي وردت في تأكيد أصول العقائد أو ضروريّات الفقه الإسلاميّ التي وردَت في القرآن الكريم، وتقريرها.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السنّة المبيّنة والمفصِّلة لِما يُرى مجملًا أو غير مبيّن لدى الأمّة أو بعض أفرادها: وهذا القسم يشمل التفسير، وتفصيل المجمل، وتقييد المطلق، وتخصيص العامّ.</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 السنّة المؤسِّسة لمعارف جديدة لا تظهر للأمّة من الكتاب: ومن أمثلة هذا القسم، كثيرٌ من تفاصيل العقائد والأحكام.</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7" w:name="_Toc155869533"/>
      <w:r w:rsidRPr="00465CD4">
        <w:rPr>
          <w:rFonts w:ascii="Adobe Arabic" w:eastAsia="Times New Roman" w:hAnsi="Adobe Arabic" w:cs="Adobe Arabic"/>
          <w:b/>
          <w:bCs/>
          <w:color w:val="996633"/>
          <w:sz w:val="36"/>
          <w:szCs w:val="36"/>
          <w:rtl/>
        </w:rPr>
        <w:t>الترتُّب في الحجّيّة ثبوتًا</w:t>
      </w:r>
      <w:bookmarkEnd w:id="37"/>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لا ريب لدى المسلمين قاطبة، في حجّيّة القرآن الكريم والسنّة الشريفة في نفسَيهما؛ أي كونهما مصدرًا إلهيًّا في علوم الاعتقاد (كالكلام) والعمل (كالفقه) إجمالًا، بشروط مختلفة خاصّة بمنهج كلّ علم. ولذا، لا داعي لنا لنبحث أصل حجّيّة كلِّ منهما.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وما يعنينا هنا ويرتبط بموضوع بحثنا، هو العلاقة بينهما من جهة الحجّيّة ثبوتًا. والجهات التي سنبحث عنها ستكون وفقًا للتقسيم الآتي: الجهة الأولى هي علاقة الحجّيّة بينهما في غير تبيين أحدهما للآخر، والجهة الثانية هي علاقتهما في الحجّيّة في تبيين أحدهما للآخر.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ويمكن اختصار البحث في مقام الثبوت في سؤالَين: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أوّلهما: هل لأحد هذَين الحجّتَين تقدُّم على الآخر في المصدريّة العلميّة لأفراد الأمّة؟</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ثانيهما: ثبت بنصّ الكتاب أنّ إحدى أهمّ وظائف السنّة الشريفة هي تبيين القرآن الكريم: </w:t>
      </w:r>
      <w:r w:rsidRPr="008711A0">
        <w:rPr>
          <w:rFonts w:ascii="Traditional Arabic" w:eastAsia="Times New Roman" w:hAnsi="Traditional Arabic" w:cs="Traditional Arabic"/>
          <w:b/>
          <w:bCs/>
          <w:color w:val="538135" w:themeColor="accent6" w:themeShade="BF"/>
          <w:sz w:val="32"/>
          <w:szCs w:val="32"/>
          <w:rtl/>
        </w:rPr>
        <w:t>﴿وَأَنزَل</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لِتُبَيِّنَ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نُزِّلَ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وَلَعَلَّهُمۡ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يَتَفَكَّرُونَ﴾</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95"/>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والسؤال المطروح هنا هو: هل يمكن على ضوء حديث الثقلَين، الاستقلال بفهم الكتاب عن السنّة الشريفة أو العترة؟</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8" w:name="_Toc155869534"/>
      <w:r w:rsidRPr="00465CD4">
        <w:rPr>
          <w:rFonts w:ascii="Adobe Arabic" w:eastAsia="Times New Roman" w:hAnsi="Adobe Arabic" w:cs="Adobe Arabic"/>
          <w:b/>
          <w:bCs/>
          <w:color w:val="996633"/>
          <w:sz w:val="36"/>
          <w:szCs w:val="36"/>
          <w:rtl/>
        </w:rPr>
        <w:t>الترتيب الأوّل: في المصدريّة العلميّة</w:t>
      </w:r>
      <w:bookmarkEnd w:id="38"/>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اشتُهِر على ألسنة بعض الأصوليّين والفقهاء، تقدُّم الكتاب رتبةً على السنّة، وأنّ رتبة السنّة متأخّرة عن رتبة الكتاب في الاعتبار. واستُدِلّ على ذلك بأدلّة، منها:</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أحدها: أنّ السنّة إمّا بيانٌ للكتاب، أو زيادةٌ على ذلك. فإن كان بيانًا، فهو ثانٍ على المبيَّن في الاعتبار، إذ يلزم من سقوط المبيَّن سقوط البيان، ولا يلزم من سقوط البيان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سقوط المبيَّن، وما شأنه هذا فهو أَوْلى في التقدُّم. وإن لم يكن بيانًا، فلا يُعتَبَر إلّا بعد أن لا يوجد في الكتاب، وذلك دليلٌ على تقدُّم اعتبار الكتاب.</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والثاني: ما دلّ على ذلك من الأخبار والآثار، كحديث معاذ، وقد سأله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"بم تحكم؟ قال: بكتاب الله قال: فإن لم تجد؟ قال: بسنّة رسول الله. قال: فإن لم تجد؟ قال: أجتهد رأيي" الحديث!</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وعن عمر بن الخطّاب أنّه كتب إلى شُرَيح: "إذا أتاك أمرٌ، فاقضِ بما في كتاب الله، فإن أتاك ما ليس في كتاب الله، فاقضِ بما سَنَّ فيه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وفي رواية عنه: "إذا وجدت شيئًا في كتاب الله، فاقضِ فيه ولا تلتفت إلى غيره". ومثله عن ابن مسعود: "مَن عرض له منكم قضاء، فليقضِ بما في كتاب الله، فإن جاءه ما ليس في كتاب الله، فليقضِ بما قضى به نبيُّه </w:t>
      </w:r>
      <w:r w:rsidR="001609BB" w:rsidRPr="001609BB">
        <w:rPr>
          <w:rFonts w:ascii="Adobe Arabic" w:eastAsia="Times New Roman" w:hAnsi="Adobe Arabic" w:cs="Adobe Arabic"/>
          <w:color w:val="000000"/>
          <w:sz w:val="32"/>
          <w:szCs w:val="32"/>
          <w:rtl/>
        </w:rPr>
        <w:t>(صلى الله عليه وآله)</w:t>
      </w:r>
      <w:r w:rsidR="00DB2D06">
        <w:rPr>
          <w:rStyle w:val="FootnoteReference"/>
          <w:rFonts w:ascii="Adobe Arabic" w:eastAsia="Times New Roman" w:hAnsi="Adobe Arabic" w:cs="Adobe Arabic"/>
          <w:color w:val="000000"/>
          <w:sz w:val="32"/>
          <w:szCs w:val="32"/>
          <w:rtl/>
        </w:rPr>
        <w:footnoteReference w:id="196"/>
      </w:r>
      <w:hyperlink r:id="rId13" w:anchor="footnote-178" w:history="1"/>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المناقشة في هذَين الدليلَين:</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 أمّا الدليل الأوّل، فإنّه يمكن الحديث في فرضَين وردا فيه، وهما:</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الفرض الأوّل: حالة كون السنّة بيانًا لِما في الكتاب:</w:t>
      </w:r>
    </w:p>
    <w:p w:rsidR="004478E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استُدِلّ لتقدُّم المبيَّن على البيان في الاعتبار؛ بأنّه بسقوط المبيَّن يسقط البيان، ولا عكس. والجواب: إنّ أقصى ما يمكن أن يلزم من تقدَّم كهذا، هو التقدّم في الشرف، بمعنى كون الكتاب بمنزلة الأصل والمتن، والسنّة بمنزلة الفرع والشرح على ذلك المتن. وهذا لا ربط له بالتقدُّم في الحجّيّة؛ إذ لا يلزم من التقدُّم من حيث الشرف والأولوية التقدُّم في الحجّيّة</w:t>
      </w:r>
      <w:r w:rsidR="00DB2D06">
        <w:rPr>
          <w:rStyle w:val="FootnoteReference"/>
          <w:rFonts w:ascii="Adobe Arabic" w:eastAsia="Times New Roman" w:hAnsi="Adobe Arabic" w:cs="Adobe Arabic"/>
          <w:color w:val="000000"/>
          <w:sz w:val="32"/>
          <w:szCs w:val="32"/>
          <w:rtl/>
        </w:rPr>
        <w:footnoteReference w:id="197"/>
      </w:r>
      <w:r w:rsidRPr="001609BB">
        <w:rPr>
          <w:rFonts w:ascii="Adobe Arabic" w:eastAsia="Times New Roman" w:hAnsi="Adobe Arabic" w:cs="Adobe Arabic"/>
          <w:color w:val="000000"/>
          <w:sz w:val="32"/>
          <w:szCs w:val="32"/>
          <w:rtl/>
        </w:rPr>
        <w:t xml:space="preserve">. فضلًا عن أنّه لا يمكن التفكيك بين البيان والمبيَّن في الفهم وتحصيل المعنى النهائيّ لمراد المتكلّم، ولا سيّما إذا كان المتكلّم بالكلام المبيَّن نفسه قد عيّن مبيِّنًا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يوضح كلامه للمخاطَبين، وهذا هو الحال في القرآن الكريم مع السنّة الشريفة؛ إذ إنّه تعالى أناط برسوله الكريم مَهمَّة تبيين كتابه العزيز للناس، بقوله: </w:t>
      </w:r>
      <w:r w:rsidRPr="008711A0">
        <w:rPr>
          <w:rFonts w:ascii="Traditional Arabic" w:eastAsia="Times New Roman" w:hAnsi="Traditional Arabic" w:cs="Traditional Arabic"/>
          <w:b/>
          <w:bCs/>
          <w:color w:val="538135" w:themeColor="accent6" w:themeShade="BF"/>
          <w:sz w:val="32"/>
          <w:szCs w:val="32"/>
          <w:rtl/>
        </w:rPr>
        <w:t>﴿وَأَنزَل</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ٱلذِّكۡرَ لِتُبَيِّنَ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نُزِّلَ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وَلَعَلَّهُمۡ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يَتَفَكَّرُونَ﴾</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98"/>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الفرض الثاني: حالة كون ما في السنّة زيادة على ما في الكتاب:</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وفي هذا الفرض، قولهم إنّ حجّيّة السنّة متوقّفة على عدم وجود ما يشاكلها في الكتاب يعارض إطلاقات الكتاب نفسه في أوامره باتّباع الرسول دون قيد أو شرط، من مثل قوله تعالى: </w:t>
      </w:r>
      <w:r w:rsidRPr="008711A0">
        <w:rPr>
          <w:rFonts w:ascii="Traditional Arabic" w:eastAsia="Times New Roman" w:hAnsi="Traditional Arabic" w:cs="Traditional Arabic"/>
          <w:b/>
          <w:bCs/>
          <w:color w:val="538135" w:themeColor="accent6" w:themeShade="BF"/>
          <w:sz w:val="32"/>
          <w:szCs w:val="32"/>
          <w:rtl/>
        </w:rPr>
        <w:t>﴿وَمَآ ءَاتَىٰكُمُ ٱلرَّسُولُ فَخُذُوهُ وَمَا نَهَىٰكُم</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فَٱنتَهُواْۚ﴾</w:t>
      </w:r>
      <w:r w:rsidR="00DB2D06">
        <w:rPr>
          <w:rStyle w:val="FootnoteReference"/>
          <w:rFonts w:ascii="Traditional Arabic" w:eastAsia="Times New Roman" w:hAnsi="Traditional Arabic" w:cs="Traditional Arabic"/>
          <w:b/>
          <w:bCs/>
          <w:color w:val="538135" w:themeColor="accent6" w:themeShade="BF"/>
          <w:sz w:val="32"/>
          <w:szCs w:val="32"/>
          <w:rtl/>
        </w:rPr>
        <w:footnoteReference w:id="199"/>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وأمّا الدليل الثاني: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فغير حديث معاذ، لا حجّة فيه؛ لأنّ قائله غير معصوم عند المسلمين جميعًا، ولسنا من القائلين بحجّيّة سنّة الصحابيّ، إضافة إلى أنّه يَرِدُ عليه ما تقدّم من استحالة تحصيل الفهم الصحيح بالتفكيك بين البيان والمبيَّن في السنّة المبيِّنة.</w:t>
      </w:r>
    </w:p>
    <w:p w:rsidR="004478E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وخبر معاذ -الذي يمكن أن يُستَدَلّ به بتقرير النبيّ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لمعاذ على ترتيبه في موارد الاستنباط للقضاء- لو أغمضنا النظر عن كونه واردًا في باب القضاء، فإنّه ضعيفٌ بجهالة الحارث بن عمرو الوارد في سنده، وبإغفال الراوي لذكر من أخذ عنهم الحديث من الناس من أصحاب معاذ</w:t>
      </w:r>
      <w:r w:rsidR="00DB2D06">
        <w:rPr>
          <w:rStyle w:val="FootnoteReference"/>
          <w:rFonts w:ascii="Adobe Arabic" w:eastAsia="Times New Roman" w:hAnsi="Adobe Arabic" w:cs="Adobe Arabic"/>
          <w:color w:val="000000"/>
          <w:sz w:val="32"/>
          <w:szCs w:val="32"/>
          <w:rtl/>
        </w:rPr>
        <w:footnoteReference w:id="200"/>
      </w:r>
      <w:r w:rsidRPr="001609BB">
        <w:rPr>
          <w:rFonts w:ascii="Adobe Arabic" w:eastAsia="Times New Roman" w:hAnsi="Adobe Arabic" w:cs="Adobe Arabic"/>
          <w:color w:val="000000"/>
          <w:sz w:val="32"/>
          <w:szCs w:val="32"/>
          <w:rtl/>
        </w:rPr>
        <w:t xml:space="preserve">. مضافًا إلى أنّه كيف يُعقَل الاكتفاء بالكتاب في حكم واحد من الأحكام، فضلًا عن جميع ما ورد فيه منها،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مع العلم أنّ من طريقة الكتاب في البيان، الاتّكال على القرائن المنفصلة، والسنّة هي الكفيلة ببيانها، فكيف يُسَوَّغ العمل بظواهر الكتاب –في مورد الأحكام- مع هذا الاحتمال</w:t>
      </w:r>
      <w:r w:rsidR="00DB2D06">
        <w:rPr>
          <w:rStyle w:val="FootnoteReference"/>
          <w:rFonts w:ascii="Adobe Arabic" w:eastAsia="Times New Roman" w:hAnsi="Adobe Arabic" w:cs="Adobe Arabic"/>
          <w:color w:val="000000"/>
          <w:sz w:val="32"/>
          <w:szCs w:val="32"/>
          <w:rtl/>
        </w:rPr>
        <w:footnoteReference w:id="201"/>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39" w:name="_Toc155869535"/>
      <w:r w:rsidRPr="00465CD4">
        <w:rPr>
          <w:rFonts w:ascii="Adobe Arabic" w:eastAsia="Times New Roman" w:hAnsi="Adobe Arabic" w:cs="Adobe Arabic"/>
          <w:b/>
          <w:bCs/>
          <w:color w:val="996633"/>
          <w:sz w:val="36"/>
          <w:szCs w:val="36"/>
          <w:rtl/>
        </w:rPr>
        <w:t>الترتّب الثاني: في تبيين السنّة للقرآن</w:t>
      </w:r>
      <w:bookmarkEnd w:id="39"/>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ذكرنا من قبل أنّ إحدى أهمّ وظائف السنّة الشريفة هي تبيين القرآن الكريم:</w:t>
      </w:r>
      <w:r w:rsidRPr="001609BB">
        <w:rPr>
          <w:rFonts w:ascii="Adobe Arabic" w:eastAsia="Times New Roman" w:hAnsi="Adobe Arabic" w:cs="Adobe Arabic"/>
          <w:color w:val="000000"/>
          <w:sz w:val="32"/>
          <w:szCs w:val="32"/>
          <w:rtl/>
        </w:rPr>
        <w:br/>
      </w:r>
      <w:r w:rsidRPr="008711A0">
        <w:rPr>
          <w:rFonts w:ascii="Traditional Arabic" w:eastAsia="Times New Roman" w:hAnsi="Traditional Arabic" w:cs="Traditional Arabic"/>
          <w:b/>
          <w:bCs/>
          <w:color w:val="538135" w:themeColor="accent6" w:themeShade="BF"/>
          <w:sz w:val="32"/>
          <w:szCs w:val="32"/>
          <w:rtl/>
        </w:rPr>
        <w:t>﴿وَأَنزَل</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لِتُبَيِّنَ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نُزِّلَ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وَلَعَلَّهُمۡ</w:t>
      </w:r>
      <w:r w:rsidRPr="008711A0">
        <w:rPr>
          <w:rFonts w:ascii="Traditional Arabic" w:eastAsia="Times New Roman" w:hAnsi="Traditional Arabic" w:cs="Traditional Arabic"/>
          <w:b/>
          <w:bCs/>
          <w:color w:val="538135" w:themeColor="accent6" w:themeShade="BF"/>
          <w:sz w:val="32"/>
          <w:szCs w:val="32"/>
          <w:rtl/>
        </w:rPr>
        <w:t xml:space="preserve"> يَتَفَكَّرُونَ﴾</w:t>
      </w:r>
      <w:r w:rsidR="00DB2D06">
        <w:rPr>
          <w:rStyle w:val="FootnoteReference"/>
          <w:rFonts w:ascii="Traditional Arabic" w:eastAsia="Times New Roman" w:hAnsi="Traditional Arabic" w:cs="Traditional Arabic"/>
          <w:b/>
          <w:bCs/>
          <w:color w:val="538135" w:themeColor="accent6" w:themeShade="BF"/>
          <w:sz w:val="32"/>
          <w:szCs w:val="32"/>
          <w:rtl/>
        </w:rPr>
        <w:footnoteReference w:id="202"/>
      </w:r>
      <w:r w:rsidRPr="001609BB">
        <w:rPr>
          <w:rFonts w:ascii="Adobe Arabic" w:eastAsia="Times New Roman" w:hAnsi="Adobe Arabic" w:cs="Adobe Arabic"/>
          <w:color w:val="000000"/>
          <w:sz w:val="32"/>
          <w:szCs w:val="32"/>
          <w:rtl/>
        </w:rPr>
        <w:t>. وبعد ذكر الكتاب لهذه الوظيفة للسنّة وممارسة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لها، لا يشكّ مسلمٌ في صلاحيّة السنّة الشريفة لتبيين الكتاب العزيز.</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وكلامنا هنا ليس في أصل هذه الصلاحيّة، إنّما في إمكان استقلال أفراد الأمّة -غير العترة- عن السنّة الشريفة في استنباط مرادات الله تعالى في الكتاب كلّه</w:t>
      </w:r>
      <w:r w:rsidR="00DB2D06">
        <w:rPr>
          <w:rStyle w:val="FootnoteReference"/>
          <w:rFonts w:ascii="Adobe Arabic" w:eastAsia="Times New Roman" w:hAnsi="Adobe Arabic" w:cs="Adobe Arabic"/>
          <w:color w:val="000000"/>
          <w:sz w:val="32"/>
          <w:szCs w:val="32"/>
          <w:rtl/>
        </w:rPr>
        <w:footnoteReference w:id="203"/>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ظاهر حديث الثقلَين شرطيّة التمسّك بالثقلَين معًا في كلّ تفصيل، للأمن من الضلال؛ إذ مقتضى إطلاق الأمر بالتمسّك بهما أو إطلاق شرطيّته للأمن من الضلال، شموله للتفاصيل كلّها في تبيين الكتاب وغيره، سواء كان أصلاً اعتقاديًّا أو فرعًا فقهيًّا.</w:t>
      </w:r>
    </w:p>
    <w:p w:rsidR="00BD4C4D" w:rsidRPr="001609BB" w:rsidRDefault="00BD4C4D" w:rsidP="00DB2D0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ولعلّ هذا المعنى هو المشهور بين أصولييّ الإماميّة. قال الميرز االنائينيّ</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في سياق ردّ</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على مدّعى الإخباريّين بعدم حجّيّة ظواهر الكتاب: "... المدّعى هو العمل بظاهر الكتاب بعد مراجعة ما ورد عن أهل البيت من التفسير، وبعد الفحص عن المقيّدات والمخصّصات، فإنّه لا يدّعي أحدٌ جوازَ الاستقلال في العمل بظاهر الكتاب، بلا مراجعة الأخبار الواردة عنهم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w:t>
      </w:r>
      <w:r w:rsidR="00DB2D06">
        <w:rPr>
          <w:rStyle w:val="FootnoteReference"/>
          <w:rFonts w:ascii="Adobe Arabic" w:eastAsia="Times New Roman" w:hAnsi="Adobe Arabic" w:cs="Adobe Arabic"/>
          <w:color w:val="000000"/>
          <w:sz w:val="32"/>
          <w:szCs w:val="32"/>
          <w:rtl/>
        </w:rPr>
        <w:footnoteReference w:id="204"/>
      </w:r>
      <w:r w:rsidRPr="001609BB">
        <w:rPr>
          <w:rFonts w:ascii="Adobe Arabic" w:eastAsia="Times New Roman" w:hAnsi="Adobe Arabic" w:cs="Adobe Arabic"/>
          <w:color w:val="000000"/>
          <w:sz w:val="32"/>
          <w:szCs w:val="32"/>
          <w:rtl/>
        </w:rPr>
        <w:t>.</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وللعلّامة السيّد محمّد حسين الطباطائيّ</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xml:space="preserve"> تفصيلٌ في المقام -ليس بعيدًا عن كلامِ جملةٍ من المحقّقين والأصوليّين- حيث رأى اختصاص لزوم البحث عن مخصِّصٍ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لعمومات الكتاب في الأحكام الفرعيّة، أمّا غيرها، فيمكن الأخذ فيها بظاهر القرآن الكريم، ضمن قواعد الأخذ بالظهور. نعم، دورُ السنّة بما يخصّ الكتاب، هو التعليم والإرشاد، وحديث الثقلَين لا دلالة له عنده على إبطال حجّيّة ظاهر القرآن وقصر الحجّيّة على ظاهر بيان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بل للقرآن الدلالة على معانيه والكشف عن المعارف الإلهيّة، ولأهل البيت الدلالة على الطريق وهداية الناس إلى أغراضه ومقاصده.</w:t>
      </w:r>
    </w:p>
    <w:p w:rsidR="00BD4C4D" w:rsidRPr="001609BB" w:rsidRDefault="00BD4C4D" w:rsidP="001C056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"إنّ الآيات التي تدعو الناس عامّةً -من كافر أو مؤمن، ممّن شاهد عصر النزول أو غاب عنه- إلى تعقُّل القرآن وتأمُّله والتدبُّر فيه، وخاصّة قوله تعالى: </w:t>
      </w:r>
      <w:r w:rsidRPr="008711A0">
        <w:rPr>
          <w:rFonts w:ascii="Traditional Arabic" w:eastAsia="Times New Roman" w:hAnsi="Traditional Arabic" w:cs="Traditional Arabic"/>
          <w:b/>
          <w:bCs/>
          <w:color w:val="538135" w:themeColor="accent6" w:themeShade="BF"/>
          <w:sz w:val="32"/>
          <w:szCs w:val="32"/>
          <w:rtl/>
        </w:rPr>
        <w:t>﴿أَفَلَا يَتَدَبَّرُونَ ٱل</w:t>
      </w:r>
      <w:r w:rsidRPr="008711A0">
        <w:rPr>
          <w:rFonts w:ascii="Traditional Arabic" w:eastAsia="Times New Roman" w:hAnsi="Traditional Arabic" w:cs="Traditional Arabic" w:hint="cs"/>
          <w:b/>
          <w:bCs/>
          <w:color w:val="538135" w:themeColor="accent6" w:themeShade="BF"/>
          <w:sz w:val="32"/>
          <w:szCs w:val="32"/>
          <w:rtl/>
        </w:rPr>
        <w:t>ۡقُرۡءَانَۚ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لَوَجَدُواْ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ٱخۡتِلَٰفا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كَثِيرا﴾</w:t>
      </w:r>
      <w:r w:rsidR="001C0560">
        <w:rPr>
          <w:rStyle w:val="FootnoteReference"/>
          <w:rFonts w:ascii="Traditional Arabic" w:eastAsia="Times New Roman" w:hAnsi="Traditional Arabic" w:cs="Traditional Arabic"/>
          <w:b/>
          <w:bCs/>
          <w:color w:val="538135" w:themeColor="accent6" w:themeShade="BF"/>
          <w:sz w:val="32"/>
          <w:szCs w:val="32"/>
          <w:rtl/>
        </w:rPr>
        <w:footnoteReference w:id="205"/>
      </w:r>
      <w:r w:rsidRPr="001609BB">
        <w:rPr>
          <w:rFonts w:ascii="Adobe Arabic" w:eastAsia="Times New Roman" w:hAnsi="Adobe Arabic" w:cs="Adobe Arabic"/>
          <w:color w:val="000000"/>
          <w:sz w:val="32"/>
          <w:szCs w:val="32"/>
          <w:rtl/>
        </w:rPr>
        <w:t>، تدلّ دلالة واضحة على أنّ المعارف القرآنيّة يمكن أن ينالها الباحث بالتدبُّر والبحث، ويرتفع به ما يتراءى من الاختلاف بين الآيات. والآية في مقام التحدّي، ولا معنى لإرجاع فهم معاني الآيات -والمقام هذا المقام- إلى فهم الصحابة وتلامذتهم من التابعين، حتّى إلى بيان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فإنّ ما بيَّنَه إمّا أن يكون معنى يوافق ظاهر الكلام، فهو ممّا يؤدِّي إليه اللفظ، ولو بعد التدبُّر والتأمُّل والبحث، وإمّا أن يكون معنى لا يوافق الظاهر، ولا أنّ الكلام يؤدّي إليه، فهو ممّا لا يلائم التحدّي ولا تتمّ به الحجّة".</w:t>
      </w:r>
    </w:p>
    <w:p w:rsidR="00BD4C4D" w:rsidRPr="001609BB" w:rsidRDefault="00BD4C4D" w:rsidP="001C056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ثم يضيف قائلًا: "نعم، تفاصيل الأحكام ممّا لا سبيل إلى تلقّيه من غير بيان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كما أرجعها القرآن إليه في قوله تعالى: </w:t>
      </w:r>
      <w:r w:rsidRPr="008711A0">
        <w:rPr>
          <w:rFonts w:ascii="Traditional Arabic" w:eastAsia="Times New Roman" w:hAnsi="Traditional Arabic" w:cs="Traditional Arabic"/>
          <w:b/>
          <w:bCs/>
          <w:color w:val="538135" w:themeColor="accent6" w:themeShade="BF"/>
          <w:sz w:val="32"/>
          <w:szCs w:val="32"/>
          <w:rtl/>
        </w:rPr>
        <w:t>﴿وَمَآ ءَاتَىٰكُمُ ٱلرَّسُولُ فَخُذُوهُ وَمَا نَهَىٰكُم</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فَٱنتَهُواْۚ﴾</w:t>
      </w:r>
      <w:r w:rsidR="001C0560">
        <w:rPr>
          <w:rStyle w:val="FootnoteReference"/>
          <w:rFonts w:ascii="Traditional Arabic" w:eastAsia="Times New Roman" w:hAnsi="Traditional Arabic" w:cs="Traditional Arabic"/>
          <w:b/>
          <w:bCs/>
          <w:color w:val="538135" w:themeColor="accent6" w:themeShade="BF"/>
          <w:sz w:val="32"/>
          <w:szCs w:val="32"/>
          <w:rtl/>
        </w:rPr>
        <w:footnoteReference w:id="206"/>
      </w:r>
      <w:r w:rsidRPr="001609BB">
        <w:rPr>
          <w:rFonts w:ascii="Adobe Arabic" w:eastAsia="Times New Roman" w:hAnsi="Adobe Arabic" w:cs="Adobe Arabic"/>
          <w:color w:val="000000"/>
          <w:sz w:val="32"/>
          <w:szCs w:val="32"/>
          <w:rtl/>
        </w:rPr>
        <w:t>، وما في معناه من الآيات، وكذا تفاصيل القصص والمعاد مثلًا...".</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وعليه، "فالنبيّ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إنّما يعلّم الناس، ويبيّن لهم ما يدلّ عليه القرآن بنفسه، ويبيّنه الله سبحانه بكلامه، ويمكن للناس الحصول عليه بالآخرة... فإن قلت: قد صحّ عن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أنّه قال في آخر خطبة خطبها: إنّي تاركٌ فيكم الثقلَين: الثقل الأكبر والثقل الأصغر؛ فأمّا الأكبر فكتاب ربّي، وأمّا الأصغر فعترتي أهل بيتي، فاحفظوني فيهما، </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فلن تضلّوا ما تمسّكتم بهما... وفي بعض الطرق: لن يفترقا حتّى يَرِدا عَلَيَّ الحوض. والحديث دالّ على حجّيّة قول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في القرآن، ووجوب اتّباع ما ورد عنهم في تفسيره، والاقتصار على ذلك، وإلّا لزم التفرقة بينهم وبينه.</w:t>
      </w:r>
    </w:p>
    <w:p w:rsidR="00BD4C4D" w:rsidRPr="001609BB" w:rsidRDefault="00BD4C4D" w:rsidP="001C056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قلت: ما ذكرناه في معنى اتّباع بيان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آنفًا، جارٍ هاهنا بعينه، والحديث غير مسوق لإبطال حجّيّة ظاهر القرآن وقصر الحجّيّة على ظاهر بيان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كيف وهو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يقول: "لن يفترقا"، فيجعل الحجّيّة لهما معًا؛ فللقرآن الدلالة على معانيه والكشف عن المعارف الإلهية، ولأهل البيت الدلالة على الطريق وهداية الناس إلى أغراضه ومقاصده"</w:t>
      </w:r>
      <w:r w:rsidR="001C0560">
        <w:rPr>
          <w:rStyle w:val="FootnoteReference"/>
          <w:rFonts w:ascii="Adobe Arabic" w:eastAsia="Times New Roman" w:hAnsi="Adobe Arabic" w:cs="Adobe Arabic"/>
          <w:color w:val="000000"/>
          <w:sz w:val="32"/>
          <w:szCs w:val="32"/>
          <w:rtl/>
        </w:rPr>
        <w:footnoteReference w:id="207"/>
      </w:r>
      <w:r w:rsidRPr="001609BB">
        <w:rPr>
          <w:rFonts w:ascii="Adobe Arabic" w:eastAsia="Times New Roman" w:hAnsi="Adobe Arabic" w:cs="Adobe Arabic"/>
          <w:color w:val="000000"/>
          <w:sz w:val="32"/>
          <w:szCs w:val="32"/>
          <w:rtl/>
        </w:rPr>
        <w:t>.</w:t>
      </w:r>
    </w:p>
    <w:p w:rsidR="00BD4C4D" w:rsidRPr="001609BB" w:rsidRDefault="00BD4C4D" w:rsidP="001C056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وفي موطن آخر من تفسيره، يدفع تهمة التفسير بالرأي على مَن يأخذ بظاهر الكتاب مع عدم الرجوع إلى السنّة، فإنّ التفسير بالرأي المنهيّ عنه إنّما يعني اعتماد المفسِّر على نفسه، من دون الرجوع إلى القرآن نفسه. قال في الميزان: "والمحصّل أنّ المنهيّ عنه [يقصد التفسير بالرأي] إنّما هو الاستقلال في تفسير القرآن، واعتماد المفسِّر على نفسه من غير رجوعٍ إلى غيره، ولازمُه وجوب الاستمداد من الغير بالرجوع إليه، وهذا الغير لا محالة إمّا هو الكتاب أو السنّة، وكونه هي السنّة ينافي القرآن والسنّة نفسها الآمرة بالرجوع إليه وعرض الأخبار عليه، فلا يبقى للرجوع إليه والاستمداد منه في تفسير القرآن إلّا نفس القرآن"</w:t>
      </w:r>
      <w:r w:rsidR="001C0560">
        <w:rPr>
          <w:rStyle w:val="FootnoteReference"/>
          <w:rFonts w:ascii="Adobe Arabic" w:eastAsia="Times New Roman" w:hAnsi="Adobe Arabic" w:cs="Adobe Arabic"/>
          <w:color w:val="000000"/>
          <w:sz w:val="32"/>
          <w:szCs w:val="32"/>
          <w:rtl/>
        </w:rPr>
        <w:footnoteReference w:id="208"/>
      </w:r>
      <w:r w:rsidRPr="001609BB">
        <w:rPr>
          <w:rFonts w:ascii="Adobe Arabic" w:eastAsia="Times New Roman" w:hAnsi="Adobe Arabic" w:cs="Adobe Arabic"/>
          <w:color w:val="000000"/>
          <w:sz w:val="32"/>
          <w:szCs w:val="32"/>
          <w:rtl/>
        </w:rPr>
        <w:t>.</w:t>
      </w:r>
    </w:p>
    <w:p w:rsidR="004478E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وتفصيل الكلام حول النظريّتَين المتقدّمتَين، وأنّهما في عرض بعضهما بعضًا، وفي غيرهما من الأقوال والأنظار، وبيان الحقّ منها أو الراجح، يحتاج إلى بحث مستقلّ خارج عن دائرة البحث في هذا الكتاب.</w:t>
      </w:r>
    </w:p>
    <w:p w:rsidR="004478EB" w:rsidRDefault="004478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40" w:name="_Toc155869536"/>
      <w:r w:rsidRPr="0064226D">
        <w:rPr>
          <w:rFonts w:ascii="Adobe Arabic" w:eastAsia="Times New Roman" w:hAnsi="Adobe Arabic" w:cs="Adobe Arabic"/>
          <w:b/>
          <w:bCs/>
          <w:color w:val="538135" w:themeColor="accent6" w:themeShade="BF"/>
          <w:sz w:val="40"/>
          <w:szCs w:val="40"/>
          <w:rtl/>
        </w:rPr>
        <w:lastRenderedPageBreak/>
        <w:t>الدرس التاسع</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العلاقة بين القرآن والسنّة المحكيّة الظنّيّة 1</w:t>
      </w:r>
      <w:bookmarkEnd w:id="40"/>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بعض المبادئ الأوّلية في العلاقة بين القرآن والسنّة المحكيّة الظنّيّة.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يحدّد المراد من موافقة السنّة ومخالفتها للكتاب.</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يدرك معنى الترجيح بموافقة الكتاب ومخالفته.</w:t>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41" w:name="_Toc155869537"/>
      <w:r w:rsidRPr="00465CD4">
        <w:rPr>
          <w:rFonts w:ascii="Adobe Arabic" w:eastAsia="Times New Roman" w:hAnsi="Adobe Arabic" w:cs="Adobe Arabic"/>
          <w:b/>
          <w:bCs/>
          <w:color w:val="996633"/>
          <w:sz w:val="36"/>
          <w:szCs w:val="36"/>
          <w:rtl/>
        </w:rPr>
        <w:lastRenderedPageBreak/>
        <w:t>تمهيد</w:t>
      </w:r>
      <w:bookmarkEnd w:id="41"/>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قد يصل الخبر الحاكي للسنّة الواقعيّة حدّ التواتر، أو يكون محفوفًا بقرائن قطعيّة، فتثبت به تلك السنّة بالعلم والقطع. لكن قد لا يحصل الأمران، ويبقى الخبر خبرَ واحدٍ غيرَ محفوف بالقرائن القطعيّة، وغير مفيد للعلم، فيأتي محلّ كلامنا في تصوير العلاقة بين هذا النوع من السنّة المحكيّة -وهو الغالب على التراث الحديثيّ- والقرآن الكريم.</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والكلام في هذا البحث يعتمد على أصول موضوعيّة أُخِذَت مسلَّمة من علم الأصول، كأصل حجّيّة خبر الواحد. وهناك جوانب وعوامل أخرى قد تؤثّر على هذه العلاقة، خارجة عن محلّ بحثنا، تركناها رومًا للاختصار، كدائرة حجّيّة خبر الواحد من حيث المضمون، وذلك كالفرق المفترض بين كونه في المعارف العقديّة أصولًا وفروعًا، أو كونه في الأحكام الفرعيّة، فيُقبَل في الثاني دون الأوّل مثلًا، ولتفصيل الكلام محلّ آخر يُطلَب من كتب الأصول</w:t>
      </w:r>
      <w:r w:rsidR="009C40F8">
        <w:rPr>
          <w:rStyle w:val="FootnoteReference"/>
          <w:rFonts w:ascii="Adobe Arabic" w:eastAsia="Times New Roman" w:hAnsi="Adobe Arabic" w:cs="Adobe Arabic"/>
          <w:color w:val="000000"/>
          <w:sz w:val="32"/>
          <w:szCs w:val="32"/>
          <w:rtl/>
        </w:rPr>
        <w:footnoteReference w:id="209"/>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وسنقتصر في البحث على العناوين الأساسيّة المشهورة، لإعطاء الطالب فكرة أوّليّة عن بعض المبادئ في العلاقة بين القرآن والسنّة المحكيّة الظنّيّة.</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42" w:name="_Toc155869538"/>
      <w:r w:rsidRPr="00465CD4">
        <w:rPr>
          <w:rFonts w:ascii="Adobe Arabic" w:eastAsia="Times New Roman" w:hAnsi="Adobe Arabic" w:cs="Adobe Arabic"/>
          <w:b/>
          <w:bCs/>
          <w:color w:val="996633"/>
          <w:sz w:val="36"/>
          <w:szCs w:val="36"/>
          <w:rtl/>
        </w:rPr>
        <w:t>عرض الروايات على الكتاب</w:t>
      </w:r>
      <w:bookmarkEnd w:id="42"/>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هناك روايات عديدة صرَّح جمعٌ من الأعلام</w:t>
      </w:r>
      <w:r w:rsidR="009C40F8">
        <w:rPr>
          <w:rStyle w:val="FootnoteReference"/>
          <w:rFonts w:ascii="Adobe Arabic" w:eastAsia="Times New Roman" w:hAnsi="Adobe Arabic" w:cs="Adobe Arabic"/>
          <w:color w:val="000000"/>
          <w:sz w:val="32"/>
          <w:szCs w:val="32"/>
          <w:rtl/>
        </w:rPr>
        <w:footnoteReference w:id="210"/>
      </w:r>
      <w:r w:rsidRPr="001609BB">
        <w:rPr>
          <w:rFonts w:ascii="Adobe Arabic" w:eastAsia="Times New Roman" w:hAnsi="Adobe Arabic" w:cs="Adobe Arabic"/>
          <w:color w:val="000000"/>
          <w:sz w:val="32"/>
          <w:szCs w:val="32"/>
          <w:rtl/>
        </w:rPr>
        <w:t> بتواترها -ولو إجمالًا- مفادها الأمر بعرض الروايات عن العترة الطاهرة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على القرآن الكريم، والأخذ بما وافقه، وطرح ما خالفه.</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وقد قُسِّمَت</w:t>
      </w:r>
      <w:r w:rsidR="009C40F8">
        <w:rPr>
          <w:rStyle w:val="FootnoteReference"/>
          <w:rFonts w:ascii="Adobe Arabic" w:eastAsia="Times New Roman" w:hAnsi="Adobe Arabic" w:cs="Adobe Arabic"/>
          <w:color w:val="000000"/>
          <w:sz w:val="32"/>
          <w:szCs w:val="32"/>
          <w:rtl/>
        </w:rPr>
        <w:footnoteReference w:id="211"/>
      </w:r>
      <w:r w:rsidRPr="001609BB">
        <w:rPr>
          <w:rFonts w:ascii="Adobe Arabic" w:eastAsia="Times New Roman" w:hAnsi="Adobe Arabic" w:cs="Adobe Arabic"/>
          <w:color w:val="000000"/>
          <w:sz w:val="32"/>
          <w:szCs w:val="32"/>
          <w:rtl/>
        </w:rPr>
        <w:t> هذه الروايات، بحسب ألسنتها، إلى ثلاثة أقسام رئيسة، هي:</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المجموعة الأولى: ما ورد بلسان الاستنكار والتحاشي عن صدور ما يخالف الكتاب من المعصومين، من قبيل رواية أيّوب بن الحرّ: قال: سمعتُ أبا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يقول: "كلّ شيء مردود إلى الكتاب والسنّة، وكلّ حديث لا يوافق كتاب الله فهو زخرف"</w:t>
      </w:r>
      <w:r w:rsidR="009C40F8">
        <w:rPr>
          <w:rStyle w:val="FootnoteReference"/>
          <w:rFonts w:ascii="Adobe Arabic" w:eastAsia="Times New Roman" w:hAnsi="Adobe Arabic" w:cs="Adobe Arabic"/>
          <w:color w:val="000000"/>
          <w:sz w:val="32"/>
          <w:szCs w:val="32"/>
          <w:rtl/>
        </w:rPr>
        <w:footnoteReference w:id="212"/>
      </w:r>
      <w:r w:rsidRPr="001609BB">
        <w:rPr>
          <w:rFonts w:ascii="Adobe Arabic" w:eastAsia="Times New Roman" w:hAnsi="Adobe Arabic" w:cs="Adobe Arabic"/>
          <w:color w:val="000000"/>
          <w:sz w:val="32"/>
          <w:szCs w:val="32"/>
          <w:rtl/>
        </w:rPr>
        <w:t>، ورواية أيوب بن راشد،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"ما لم يوافق من الحديث القرآن، فهو زخرف"، ورواية هشام بن الحكم وغيره،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"خطب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بمنى، فقال: أيّها الناس، ما جاءكم عنّي يوافق كتاب الله فأنا قلته، وما جاءكم يخالف كتاب الله فلم أَقُلْه"</w:t>
      </w:r>
      <w:r w:rsidR="009C40F8">
        <w:rPr>
          <w:rStyle w:val="FootnoteReference"/>
          <w:rFonts w:ascii="Adobe Arabic" w:eastAsia="Times New Roman" w:hAnsi="Adobe Arabic" w:cs="Adobe Arabic"/>
          <w:color w:val="000000"/>
          <w:sz w:val="32"/>
          <w:szCs w:val="32"/>
          <w:rtl/>
        </w:rPr>
        <w:footnoteReference w:id="213"/>
      </w:r>
      <w:r w:rsidRPr="001609BB">
        <w:rPr>
          <w:rFonts w:ascii="Adobe Arabic" w:eastAsia="Times New Roman" w:hAnsi="Adobe Arabic" w:cs="Adobe Arabic"/>
          <w:color w:val="000000"/>
          <w:sz w:val="32"/>
          <w:szCs w:val="32"/>
          <w:rtl/>
        </w:rPr>
        <w:t>.</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المجموعة الثانية: ما دلّ على إناطة العمل بالرواية بأن يكون موافقًا مع الكتاب وعليه شاهد منه، من قبيل رواية ابن أبي يعفور، قال: "سألتُ أبا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عن اختلاف الحديث يرويه من نثق به ومنهم من لا تثق به؟ قال: "إذا ورد عليكم حديثٌ، فوجدتم له شاهدًا من كتاب الله أو من قول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وإلّا فالذي جاءكم به أَوْلى به"</w:t>
      </w:r>
      <w:r w:rsidR="009C40F8">
        <w:rPr>
          <w:rStyle w:val="FootnoteReference"/>
          <w:rFonts w:ascii="Adobe Arabic" w:eastAsia="Times New Roman" w:hAnsi="Adobe Arabic" w:cs="Adobe Arabic"/>
          <w:color w:val="000000"/>
          <w:sz w:val="32"/>
          <w:szCs w:val="32"/>
          <w:rtl/>
        </w:rPr>
        <w:footnoteReference w:id="214"/>
      </w:r>
      <w:r w:rsidRPr="001609BB">
        <w:rPr>
          <w:rFonts w:ascii="Adobe Arabic" w:eastAsia="Times New Roman" w:hAnsi="Adobe Arabic" w:cs="Adobe Arabic"/>
          <w:color w:val="000000"/>
          <w:sz w:val="32"/>
          <w:szCs w:val="32"/>
          <w:rtl/>
        </w:rPr>
        <w:t>.</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المجموعة الثالثة: ما دلّ على نفي الحجّيّة عمّا يخالف الكتاب الكريم، من قبيل رواية السكونيّ،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"قال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إنّ على كلّ حقٍّ حقيقة، وعلى كلّ صواب نورًا؛ فما وافق كتاب الله فخذوه، وما خالف كتاب الله فدعوه"</w:t>
      </w:r>
      <w:r w:rsidR="009C40F8">
        <w:rPr>
          <w:rStyle w:val="FootnoteReference"/>
          <w:rFonts w:ascii="Adobe Arabic" w:eastAsia="Times New Roman" w:hAnsi="Adobe Arabic" w:cs="Adobe Arabic"/>
          <w:color w:val="000000"/>
          <w:sz w:val="32"/>
          <w:szCs w:val="32"/>
          <w:rtl/>
        </w:rPr>
        <w:footnoteReference w:id="215"/>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43" w:name="_Toc155869539"/>
      <w:r w:rsidRPr="00465CD4">
        <w:rPr>
          <w:rFonts w:ascii="Adobe Arabic" w:eastAsia="Times New Roman" w:hAnsi="Adobe Arabic" w:cs="Adobe Arabic"/>
          <w:b/>
          <w:bCs/>
          <w:color w:val="996633"/>
          <w:sz w:val="36"/>
          <w:szCs w:val="36"/>
          <w:rtl/>
        </w:rPr>
        <w:t>المراد من المخالفة والموافقة</w:t>
      </w:r>
      <w:bookmarkEnd w:id="43"/>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ذُكِرَت معانٍ كثيرة للمخالفة والموافقة في هذه الطوائف من الأحاديث الشريفة، يمكن حصرها في قسمَين رئيسَين: أحدهما المخالفة والموافقة لنصٍّ جزئيٍّ من الكتاب،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ككون الرواية مخالفة بنحو التباين أو العموم من وجه، مع نصٍّ خاصٍّ من الكتاب، أو موافقة لإطلاق أو عمومِ نصٍّ آخر، كما قد يُقال في تفسير كلمتَي "الشاهد" و"الشاهدين" الواردة في الطائفة الثانية من روايات العرض. والقسم الآخر هو المخالفة والموافقة مع نظرة القرآن الكريم العامّة تجاه موضوع الرواية.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ولا شكّ أنّ الأوفق بظاهر حديث الثقلَين وأحاديث أخرى، والمتعيّن من العمل بآية المحكم والمتشابه، هو العرض على المحصّل العامّ المستخلَص من الكتاب، بمراعاة الترتيب الدلاليّ للآيات وجِهات إحكامها وتشابهها، أو العرض على القواعد الثابتة ومسلَّمات الكتاب في موضوع الرواية المعروضة.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وسنذكر هنا نظرتَين لتفسير هذه الرؤية الموضوعيّة للعرض، قد تؤولان إلى معنى واحد: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أوّلهما: ما احتمله السيّد الشهيد محمّد باقر الصدر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بأن يكون المقصودُ بموافقةِ الكتاب الكريم الملائمةَ للمزاج والإطار العامّ للقرآن، بأن لا يكون مخالفاً لمسلَّمات الشريعة، التي يكون مثالها الكامل هو القرآن، باعتبار أنّ القرآن هو كتاب الشريعة ودستورها. وبناءً على هذا الاحتمال، يكون محصّل هذه الأخبار هو أنّه كلّما ورد حديثٌ غير موافق في المضمون للإطار والذوق العامّ للكتاب الكريم، كان هذا الحديث ساقطًا، سواء كان في الأحكام أو في العقائد، وممّا يُقطَع بعدم مطابقة مضمونه للواقع؛ لعدم ملائمته مع مسلّمات الشريعة. ويوجد لهذا الاحتمال بعض أُمور تكون مؤيّدة له، أو موجبة لاستشعاره، أو قرينة عليه على اختلاف مراتب التأييد: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فمنها: أنّه يوجد في جملة من الأخبار عنوانان: «ما وافق كتاب الله فخذوه، وما خالف كتاب الله فدعوه»، ولم يُفرَض شقّ ثالث. فلو فرض أنّ المراد بالموافقة هي الموافقة لنصّ خاصّ للكتاب، وبالمخالفة هي المخالفة لنصّ خاصّ له، لكان الشقّ الثالث المسكوت عنه في المقام أكثر من كِلا هذَين القسمَين.</w:t>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 ومنها: ما ورد في بعض الروايات المتعلّقة بهذا الموضوع، من أنّه "إن وجدتم عليه شاهداً أو شاهدَين من كتاب الله، فخذوا به"، فإنّ ظاهر ذلك: أنّ وجود شاهد ثانٍ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يوجب التأكيد في مِلاك الأخذ، مع أنّه لو كان المقصود الموافقة بمعنى دلالة آية على مفاده، لم تكن دلالة آية ثانية عليه موجباً لتأكيد مِلاك الأخذ، كما هو واضح، وهذا بخلاف ما لو كان المراد الموافقة للمزاج العامّ، فإنّه كلّما كانت المناسبة مع عدد أكبر من المسلَّمات، وعدد أكثر من الأذواق المستكشفة للشريعة الإسلاميّة، يكون مِلاك الأخذ، عندئذٍ، أقوى، لا محالة.</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ومنها: أنّ قسماً من تلك الأخبار يدلّ على نفي صدور ما لا يوافق الكتاب منهم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واستنكار ذلك، لا مجرّد نفي الحجّيّة، في حين من الواضح أنّ ورود ما لا يوافق نصّاً خاصّاً من الكتاب ليس بعيداً عن شأنهم. ومن المعلوم لدى المسلمين جميعاً أنّ القرآن الكريم لا يحتوي على تمام أحكام الشريعة، بلا خلاف في ذلك بين الشيعة والسنّة؛ فإنّ الشيعة تأخذ بقيّة الأحكام عن رسول الله</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والأئمّة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والسنّة يأخذونها عن رسول الله</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والصحابة والتابعين وأئمّة مذاهبهم. وعليه، فما لا يناسبهم</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هو صدور ما لا يوافق الذوق العامّ للكتاب الكريم، ولا يلائم المسلَّمات</w:t>
      </w:r>
      <w:r w:rsidR="009C40F8">
        <w:rPr>
          <w:rStyle w:val="FootnoteReference"/>
          <w:rFonts w:ascii="Adobe Arabic" w:eastAsia="Times New Roman" w:hAnsi="Adobe Arabic" w:cs="Adobe Arabic"/>
          <w:color w:val="000000"/>
          <w:sz w:val="32"/>
          <w:szCs w:val="32"/>
          <w:rtl/>
        </w:rPr>
        <w:footnoteReference w:id="216"/>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ثانيهما: ما تبنّاه بعض الأعلام من أنّ المراد من الموافقة ليس هو الموافقة مع ظواهر القرآن، كالموافقة مع إطلاقاته وعموماته، بل المراد هو الموافقة من حيث الهدف والروح؛ أي بناءً على المخطّط الذي وضعه القرآن لهداية البشر، بلحاظ الجوانب الفرديّة والاجتماعيّة والدنيويّة والأخرويّة، فإنّ تلك الأهداف العليا المتمثّلة في القرآن -والتي بلحاظها يكون القرآن هدى نورًا وبصائر وشفاء لِما في الصدور وغير ذلك، والمتمثّلة في عدد من الكُبرَيات وعدد من الأحكام الجزئيّة- لا بدّ أن يكون الخبر موافِقًا معها، أي يكون في امتداد ذلك الخطّ، وعلى ضوء تلك القواعد والأصول نفسها.</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والمراد من المخالفة هو ما يكون في قبال الموافقة بهذا المعنى.</w:t>
      </w:r>
    </w:p>
    <w:p w:rsidR="00932FF5" w:rsidRDefault="00BD4C4D" w:rsidP="001609BB">
      <w:pPr>
        <w:bidi/>
        <w:spacing w:before="100" w:beforeAutospacing="1" w:after="100" w:afterAutospacing="1" w:line="240" w:lineRule="auto"/>
        <w:jc w:val="both"/>
        <w:rPr>
          <w:rFonts w:ascii="Traditional Arabic" w:eastAsia="Times New Roman" w:hAnsi="Traditional Arabic" w:cs="Traditional Arabic"/>
          <w:b/>
          <w:bCs/>
          <w:color w:val="538135" w:themeColor="accent6" w:themeShade="BF"/>
          <w:sz w:val="32"/>
          <w:szCs w:val="32"/>
          <w:rtl/>
        </w:rPr>
      </w:pPr>
      <w:r w:rsidRPr="001609BB">
        <w:rPr>
          <w:rFonts w:ascii="Adobe Arabic" w:eastAsia="Times New Roman" w:hAnsi="Adobe Arabic" w:cs="Adobe Arabic"/>
          <w:color w:val="000000"/>
          <w:sz w:val="32"/>
          <w:szCs w:val="32"/>
          <w:rtl/>
        </w:rPr>
        <w:t>والأصول عبارة عن تلك النظريّات المتعلّقة بالله والإنسان والمبدأ والمعاد والعلاقات الأصيلة بين البشر -التي يشير إليها قوله تعالى: </w:t>
      </w:r>
      <w:r w:rsidRPr="008711A0">
        <w:rPr>
          <w:rFonts w:ascii="Traditional Arabic" w:eastAsia="Times New Roman" w:hAnsi="Traditional Arabic" w:cs="Traditional Arabic"/>
          <w:b/>
          <w:bCs/>
          <w:color w:val="538135" w:themeColor="accent6" w:themeShade="BF"/>
          <w:sz w:val="32"/>
          <w:szCs w:val="32"/>
          <w:rtl/>
        </w:rPr>
        <w:t>﴿إِنَّ ٱللَّهَ يَأ</w:t>
      </w:r>
      <w:r w:rsidRPr="008711A0">
        <w:rPr>
          <w:rFonts w:ascii="Traditional Arabic" w:eastAsia="Times New Roman" w:hAnsi="Traditional Arabic" w:cs="Traditional Arabic" w:hint="cs"/>
          <w:b/>
          <w:bCs/>
          <w:color w:val="538135" w:themeColor="accent6" w:themeShade="BF"/>
          <w:sz w:val="32"/>
          <w:szCs w:val="32"/>
          <w:rtl/>
        </w:rPr>
        <w:t>ۡمُرُ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بِٱلۡعَدۡلِ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وَٱلۡإِحۡسَٰنِ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وَإِيتَآيِٕ</w:t>
      </w:r>
      <w:r w:rsidRPr="008711A0">
        <w:rPr>
          <w:rFonts w:ascii="Traditional Arabic" w:eastAsia="Times New Roman" w:hAnsi="Traditional Arabic" w:cs="Traditional Arabic"/>
          <w:b/>
          <w:bCs/>
          <w:color w:val="538135" w:themeColor="accent6" w:themeShade="BF"/>
          <w:sz w:val="32"/>
          <w:szCs w:val="32"/>
          <w:rtl/>
        </w:rPr>
        <w:t xml:space="preserve"> </w:t>
      </w:r>
    </w:p>
    <w:p w:rsidR="00932FF5" w:rsidRDefault="00932FF5">
      <w:pPr>
        <w:rPr>
          <w:rFonts w:ascii="Traditional Arabic" w:eastAsia="Times New Roman" w:hAnsi="Traditional Arabic" w:cs="Traditional Arabic"/>
          <w:b/>
          <w:bCs/>
          <w:color w:val="538135" w:themeColor="accent6" w:themeShade="BF"/>
          <w:sz w:val="32"/>
          <w:szCs w:val="32"/>
          <w:rtl/>
        </w:rPr>
      </w:pPr>
      <w:r>
        <w:rPr>
          <w:rFonts w:ascii="Traditional Arabic" w:eastAsia="Times New Roman" w:hAnsi="Traditional Arabic" w:cs="Traditional Arabic"/>
          <w:b/>
          <w:bCs/>
          <w:color w:val="538135" w:themeColor="accent6" w:themeShade="BF"/>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1A0">
        <w:rPr>
          <w:rFonts w:ascii="Traditional Arabic" w:eastAsia="Times New Roman" w:hAnsi="Traditional Arabic" w:cs="Traditional Arabic" w:hint="cs"/>
          <w:b/>
          <w:bCs/>
          <w:color w:val="538135" w:themeColor="accent6" w:themeShade="BF"/>
          <w:sz w:val="32"/>
          <w:szCs w:val="32"/>
          <w:rtl/>
        </w:rPr>
        <w:lastRenderedPageBreak/>
        <w:t>ذِي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ٱلۡقُرۡبَىٰ﴾</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17"/>
      </w:r>
      <w:r w:rsidRPr="001609BB">
        <w:rPr>
          <w:rFonts w:ascii="Adobe Arabic" w:eastAsia="Times New Roman" w:hAnsi="Adobe Arabic" w:cs="Adobe Arabic"/>
          <w:color w:val="000000"/>
          <w:sz w:val="32"/>
          <w:szCs w:val="32"/>
          <w:rtl/>
        </w:rPr>
        <w:t>- أو العلاقات الأخرى، والحكم بالقسط والعدل؛ لقوله تعالى: </w:t>
      </w:r>
      <w:r w:rsidRPr="008711A0">
        <w:rPr>
          <w:rFonts w:ascii="Traditional Arabic" w:eastAsia="Times New Roman" w:hAnsi="Traditional Arabic" w:cs="Traditional Arabic"/>
          <w:b/>
          <w:bCs/>
          <w:color w:val="538135" w:themeColor="accent6" w:themeShade="BF"/>
          <w:sz w:val="32"/>
          <w:szCs w:val="32"/>
          <w:rtl/>
        </w:rPr>
        <w:t>﴿وَإِذَا حَكَم</w:t>
      </w:r>
      <w:r w:rsidRPr="008711A0">
        <w:rPr>
          <w:rFonts w:ascii="Traditional Arabic" w:eastAsia="Times New Roman" w:hAnsi="Traditional Arabic" w:cs="Traditional Arabic" w:hint="cs"/>
          <w:b/>
          <w:bCs/>
          <w:color w:val="538135" w:themeColor="accent6" w:themeShade="BF"/>
          <w:sz w:val="32"/>
          <w:szCs w:val="32"/>
          <w:rtl/>
        </w:rPr>
        <w:t>ۡتُم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تَحۡكُمُواْ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بِٱلۡعَدۡلِۚ﴾</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18"/>
      </w:r>
      <w:r w:rsidRPr="001609BB">
        <w:rPr>
          <w:rFonts w:ascii="Adobe Arabic" w:eastAsia="Times New Roman" w:hAnsi="Adobe Arabic" w:cs="Adobe Arabic"/>
          <w:color w:val="000000"/>
          <w:sz w:val="32"/>
          <w:szCs w:val="32"/>
          <w:rtl/>
        </w:rPr>
        <w:t>، ونفي الحرج؛ لقوله تعالى: </w:t>
      </w:r>
      <w:r w:rsidRPr="008711A0">
        <w:rPr>
          <w:rFonts w:ascii="Traditional Arabic" w:eastAsia="Times New Roman" w:hAnsi="Traditional Arabic" w:cs="Traditional Arabic"/>
          <w:b/>
          <w:bCs/>
          <w:color w:val="538135" w:themeColor="accent6" w:themeShade="BF"/>
          <w:sz w:val="32"/>
          <w:szCs w:val="32"/>
          <w:rtl/>
        </w:rPr>
        <w:t>﴿وَمَا جَعَلَ عَلَي</w:t>
      </w:r>
      <w:r w:rsidRPr="008711A0">
        <w:rPr>
          <w:rFonts w:ascii="Traditional Arabic" w:eastAsia="Times New Roman" w:hAnsi="Traditional Arabic" w:cs="Traditional Arabic" w:hint="cs"/>
          <w:b/>
          <w:bCs/>
          <w:color w:val="538135" w:themeColor="accent6" w:themeShade="BF"/>
          <w:sz w:val="32"/>
          <w:szCs w:val="32"/>
          <w:rtl/>
        </w:rPr>
        <w:t>ۡكُمۡ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ٱلدِّينِ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حَرَجۚ﴾</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19"/>
      </w:r>
      <w:r w:rsidRPr="001609BB">
        <w:rPr>
          <w:rFonts w:ascii="Adobe Arabic" w:eastAsia="Times New Roman" w:hAnsi="Adobe Arabic" w:cs="Adobe Arabic"/>
          <w:color w:val="000000"/>
          <w:sz w:val="32"/>
          <w:szCs w:val="32"/>
          <w:rtl/>
        </w:rPr>
        <w:t> و</w:t>
      </w:r>
      <w:r w:rsidRPr="008711A0">
        <w:rPr>
          <w:rFonts w:ascii="Traditional Arabic" w:eastAsia="Times New Roman" w:hAnsi="Traditional Arabic" w:cs="Traditional Arabic"/>
          <w:b/>
          <w:bCs/>
          <w:color w:val="538135" w:themeColor="accent6" w:themeShade="BF"/>
          <w:sz w:val="32"/>
          <w:szCs w:val="32"/>
          <w:rtl/>
        </w:rPr>
        <w:t>﴿يُرِيدُ  بِكُمُ  يُرِيدُ بِكُمُ ﴾</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20"/>
      </w:r>
      <w:r w:rsidRPr="001609BB">
        <w:rPr>
          <w:rFonts w:ascii="Adobe Arabic" w:eastAsia="Times New Roman" w:hAnsi="Adobe Arabic" w:cs="Adobe Arabic"/>
          <w:color w:val="000000"/>
          <w:sz w:val="32"/>
          <w:szCs w:val="32"/>
          <w:rtl/>
        </w:rPr>
        <w:t>، والمساواة والكرامة الإنسانيّة وغير ذلك؛ فهذه بعض الأهداف الرئيسة والمبادئ العامّة للدين الإسلاميّ، فالإسلام مبيِّنٌ لذلك الدين الفطريّ -الذي يُعَبَّر عنه اليوم بالقانون الطبيعيّ- المرتكز في النفوس، وعن تلك الأصول تتفرّع مجموعة من القوانين التي بَيَّنَها القرآن الكريم بنحو تفصيليّ، ومن بعده سُنَن النبيّ الأعظم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والأئمّة الهداة بتفصيل أكثر. وعليه، فإذا قيل: لا بدّ أن يكون الخبر موافِقًا، فيُقصَد بذلك الموافقة مع تلك الأهداف المتمثّلة بالعقل الفطريّ الذي يصرّح القرآن بأنّه ترجمان له. والسنّة أيضًا مُبَيِّنة لتلك الأهداف وفي امتدادها</w:t>
      </w:r>
      <w:r w:rsidR="009C40F8">
        <w:rPr>
          <w:rStyle w:val="FootnoteReference"/>
          <w:rFonts w:ascii="Adobe Arabic" w:eastAsia="Times New Roman" w:hAnsi="Adobe Arabic" w:cs="Adobe Arabic"/>
          <w:color w:val="000000"/>
          <w:sz w:val="32"/>
          <w:szCs w:val="32"/>
          <w:rtl/>
        </w:rPr>
        <w:footnoteReference w:id="221"/>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44" w:name="_Toc155869540"/>
      <w:r w:rsidRPr="00465CD4">
        <w:rPr>
          <w:rFonts w:ascii="Adobe Arabic" w:eastAsia="Times New Roman" w:hAnsi="Adobe Arabic" w:cs="Adobe Arabic"/>
          <w:b/>
          <w:bCs/>
          <w:color w:val="996633"/>
          <w:sz w:val="36"/>
          <w:szCs w:val="36"/>
          <w:rtl/>
        </w:rPr>
        <w:t>الترجيح بموافقة الكتاب ومخالفته</w:t>
      </w:r>
      <w:bookmarkEnd w:id="44"/>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وردَت روايات صنَّفها العلماء ضمن الأخبار العلاجيّة، مفاد بعضها ترجيح إحدى الروايات المتعارضة على الأخرى بموافقة الكتاب ومخالفة الأخرى له، وذلك مثل رواية عبد الرحمن بن أبي عبد الله، قال: قال الصادق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"إذا ورد عليكم حديثان مختلفان، فاعرضوهما على كتاب الله، فما وافق كتاب الله فخذوه، وما خالف كتاب الله فردّوه؛ فإن لم تجدوهما في كتاب الله، فاعرضوهما على أخبار العامّة؛ فما وافق أخبارهم فذروه، وما خالف أخبارهم فخذوه"</w:t>
      </w:r>
      <w:r w:rsidR="009C40F8">
        <w:rPr>
          <w:rStyle w:val="FootnoteReference"/>
          <w:rFonts w:ascii="Adobe Arabic" w:eastAsia="Times New Roman" w:hAnsi="Adobe Arabic" w:cs="Adobe Arabic"/>
          <w:color w:val="000000"/>
          <w:sz w:val="32"/>
          <w:szCs w:val="32"/>
          <w:rtl/>
        </w:rPr>
        <w:footnoteReference w:id="222"/>
      </w:r>
      <w:hyperlink r:id="rId14" w:anchor="footnote-152" w:history="1"/>
      <w:r w:rsidRPr="001609BB">
        <w:rPr>
          <w:rFonts w:ascii="Adobe Arabic" w:eastAsia="Times New Roman" w:hAnsi="Adobe Arabic" w:cs="Adobe Arabic"/>
          <w:color w:val="000000"/>
          <w:sz w:val="32"/>
          <w:szCs w:val="32"/>
          <w:rtl/>
        </w:rPr>
        <w:t>.</w:t>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وتشتمل هذه الرواية -كما هو الظاهر منها- على مرجِّحَين مترتِّبَين؛ ففي المرتبة الأولى، يرجّح ما وافق الكتاب من الحديثَين على ما خالفه، وفي المرتبة الثانية، ومع فقد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المرجِّح الأوّل، يرجّح ما خالف العامّة من الحديثَين على ما وافقهم.</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بنى عددٌ من المحقّقين من العلماء الأصوليّين على أنّ مورد هذه الرواية وما شابهها صورةُ كون الخبرَين المتعارضَين ممّا يكونان حجّة في نفسَيهما، لولا التعارض، وأنّ المراد من المخالف للكتاب، والذي يكون مرجوحًا، ما لا يكون مباينًا للكتاب، وإلّا فهو ساقط عن الحجّيّة، وإنّما ما يخالفه مخالفةَ الخاصّ للعامّ، أو المقيّد للمطلق، ونظائرهما من أنواع المخالفة</w:t>
      </w:r>
      <w:r w:rsidR="009C40F8">
        <w:rPr>
          <w:rStyle w:val="FootnoteReference"/>
          <w:rFonts w:ascii="Adobe Arabic" w:eastAsia="Times New Roman" w:hAnsi="Adobe Arabic" w:cs="Adobe Arabic"/>
          <w:color w:val="000000"/>
          <w:sz w:val="32"/>
          <w:szCs w:val="32"/>
          <w:rtl/>
        </w:rPr>
        <w:footnoteReference w:id="223"/>
      </w:r>
      <w:r w:rsidRPr="001609BB">
        <w:rPr>
          <w:rFonts w:ascii="Adobe Arabic" w:eastAsia="Times New Roman" w:hAnsi="Adobe Arabic" w:cs="Adobe Arabic"/>
          <w:color w:val="000000"/>
          <w:sz w:val="32"/>
          <w:szCs w:val="32"/>
          <w:rtl/>
        </w:rPr>
        <w:t>.</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وذكر بعضٌ آخر، كالإمام الخمينيّ </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أنّ المخالف للكتاب في مورد الخبرَين المتعارضَين، والذي ينبغي تركه، هو الأعمّ من المخالف على نحو التباين، أو العموم من وجه، أو مطلقًا. قال (ره): «فالخبران المختلفان إذا لم يكن بينهما جمع عرفيّ، إذا وافق أحدُهما كتابَ الله وخالفه الآخر، يجب أخذ الموافق وترك المخالف، سواء كانت المخالفة بالتباين، أو الأعمّ من وجه، أو الأعمّ مطلقًا، ولا وجه لرفع اليد عن هذا الإطلاق بلا قرينة صارفة ودليل مقيِّد»</w:t>
      </w:r>
      <w:r w:rsidR="009C40F8">
        <w:rPr>
          <w:rStyle w:val="FootnoteReference"/>
          <w:rFonts w:ascii="Adobe Arabic" w:eastAsia="Times New Roman" w:hAnsi="Adobe Arabic" w:cs="Adobe Arabic"/>
          <w:color w:val="000000"/>
          <w:sz w:val="32"/>
          <w:szCs w:val="32"/>
          <w:rtl/>
        </w:rPr>
        <w:footnoteReference w:id="224"/>
      </w:r>
      <w:r w:rsidRPr="001609BB">
        <w:rPr>
          <w:rFonts w:ascii="Adobe Arabic" w:eastAsia="Times New Roman" w:hAnsi="Adobe Arabic" w:cs="Adobe Arabic"/>
          <w:color w:val="000000"/>
          <w:sz w:val="32"/>
          <w:szCs w:val="32"/>
          <w:rtl/>
        </w:rPr>
        <w:t>. ونترك تفصيل الكلام حول هذا الأمر إلى مقام آخر من البحث.</w:t>
      </w: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45" w:name="_Toc155869541"/>
      <w:r w:rsidRPr="0064226D">
        <w:rPr>
          <w:rFonts w:ascii="Adobe Arabic" w:eastAsia="Times New Roman" w:hAnsi="Adobe Arabic" w:cs="Adobe Arabic"/>
          <w:b/>
          <w:bCs/>
          <w:color w:val="538135" w:themeColor="accent6" w:themeShade="BF"/>
          <w:sz w:val="40"/>
          <w:szCs w:val="40"/>
          <w:rtl/>
        </w:rPr>
        <w:lastRenderedPageBreak/>
        <w:t>الدرس العاشر</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العلاقة بين القرآن والسنّة المحكيّة الظنّيّة 2</w:t>
      </w:r>
      <w:bookmarkEnd w:id="45"/>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-إجمالًا- إمكانيّة تخصيص الكتاب بخبرِ الواحد.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يناقش فيما استُدِلَّ به على عدم تخصيص الكتاب بخبرِ الواحد.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يتعرّف -إجمالًا- إمكانيّة نسخ الكتاب بخبرِ الواحد.</w:t>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46" w:name="_Toc155869542"/>
      <w:r w:rsidRPr="00465CD4">
        <w:rPr>
          <w:rFonts w:ascii="Adobe Arabic" w:eastAsia="Times New Roman" w:hAnsi="Adobe Arabic" w:cs="Adobe Arabic"/>
          <w:b/>
          <w:bCs/>
          <w:color w:val="996633"/>
          <w:sz w:val="36"/>
          <w:szCs w:val="36"/>
          <w:rtl/>
        </w:rPr>
        <w:lastRenderedPageBreak/>
        <w:t>تخصيص الكتاب بخبرِ الواحد</w:t>
      </w:r>
      <w:bookmarkEnd w:id="46"/>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إذا ثبتت حجّيّة خبر الواحد بدليل قطعيّ، فهل يُخَصَّص به عمومُ ما ورد في الكتاب العزيز، أو يُقَيَّد به إطلاقُه؟ ذهب مشهور العلماء إلى جواز ذلك، وخالف فيه فريقٌ من علماء أهل السنّة، فمنَعَه بعضُهم على الإطلاق. وقال عيسى بن أبان: إن كان العامُّ الكتابيّ قد خُصَّ -من قبل- بدليلٍ مقطوعٍ به، جاز تخصيصُه بخبرِ الواحد، وإلّا لم يَجُزْ. وقال الكرخيّ: إذا خُصَّ العامُّ بدليلٍ منفصل، جاز تخصيصُه بعد ذلك بخبرِ الواحد، وإلّا فلا. وذهب القاضي أبو بكر إلى الوقف</w:t>
      </w:r>
      <w:r w:rsidR="009C40F8">
        <w:rPr>
          <w:rStyle w:val="FootnoteReference"/>
          <w:rFonts w:ascii="Adobe Arabic" w:eastAsia="Times New Roman" w:hAnsi="Adobe Arabic" w:cs="Adobe Arabic"/>
          <w:color w:val="000000"/>
          <w:sz w:val="32"/>
          <w:szCs w:val="32"/>
          <w:rtl/>
        </w:rPr>
        <w:footnoteReference w:id="225"/>
      </w:r>
      <w:r w:rsidRPr="001609BB">
        <w:rPr>
          <w:rFonts w:ascii="Adobe Arabic" w:eastAsia="Times New Roman" w:hAnsi="Adobe Arabic" w:cs="Adobe Arabic"/>
          <w:color w:val="000000"/>
          <w:sz w:val="32"/>
          <w:szCs w:val="32"/>
          <w:rtl/>
        </w:rPr>
        <w:t>.</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ومن الأمثلة التي تُضرَب للمسألة، تقييدُ حُكمِ الحلّيّة المستفاد من قوله تعالى: </w:t>
      </w:r>
      <w:r w:rsidRPr="008711A0">
        <w:rPr>
          <w:rFonts w:ascii="Traditional Arabic" w:eastAsia="Times New Roman" w:hAnsi="Traditional Arabic" w:cs="Traditional Arabic"/>
          <w:b/>
          <w:bCs/>
          <w:color w:val="538135" w:themeColor="accent6" w:themeShade="BF"/>
          <w:sz w:val="32"/>
          <w:szCs w:val="32"/>
          <w:rtl/>
        </w:rPr>
        <w:t>﴿ وَأُحِلَّ لَكُم مَّا وَرَآءَ ذَٰلِكُم</w:t>
      </w:r>
      <w:r w:rsidRPr="008711A0">
        <w:rPr>
          <w:rFonts w:ascii="Traditional Arabic" w:eastAsia="Times New Roman" w:hAnsi="Traditional Arabic" w:cs="Traditional Arabic" w:hint="cs"/>
          <w:b/>
          <w:bCs/>
          <w:color w:val="538135" w:themeColor="accent6" w:themeShade="BF"/>
          <w:sz w:val="32"/>
          <w:szCs w:val="32"/>
          <w:rtl/>
        </w:rPr>
        <w:t>ۡ﴾</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26"/>
      </w:r>
      <w:r w:rsidRPr="001609BB">
        <w:rPr>
          <w:rFonts w:ascii="Adobe Arabic" w:eastAsia="Times New Roman" w:hAnsi="Adobe Arabic" w:cs="Adobe Arabic"/>
          <w:color w:val="000000"/>
          <w:sz w:val="32"/>
          <w:szCs w:val="32"/>
          <w:rtl/>
        </w:rPr>
        <w:t> بقوله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«لا تُنكَح المرأة على عمّتها، ولا على خالتها»</w:t>
      </w:r>
      <w:r w:rsidR="009C40F8">
        <w:rPr>
          <w:rStyle w:val="FootnoteReference"/>
          <w:rFonts w:ascii="Adobe Arabic" w:eastAsia="Times New Roman" w:hAnsi="Adobe Arabic" w:cs="Adobe Arabic"/>
          <w:color w:val="000000"/>
          <w:sz w:val="32"/>
          <w:szCs w:val="32"/>
          <w:rtl/>
        </w:rPr>
        <w:footnoteReference w:id="227"/>
      </w:r>
      <w:r w:rsidRPr="001609BB">
        <w:rPr>
          <w:rFonts w:ascii="Adobe Arabic" w:eastAsia="Times New Roman" w:hAnsi="Adobe Arabic" w:cs="Adobe Arabic"/>
          <w:color w:val="000000"/>
          <w:sz w:val="32"/>
          <w:szCs w:val="32"/>
          <w:rtl/>
        </w:rPr>
        <w:t>، وكذا آية الإرث</w:t>
      </w:r>
      <w:r w:rsidR="009C40F8">
        <w:rPr>
          <w:rStyle w:val="FootnoteReference"/>
          <w:rFonts w:ascii="Adobe Arabic" w:eastAsia="Times New Roman" w:hAnsi="Adobe Arabic" w:cs="Adobe Arabic"/>
          <w:color w:val="000000"/>
          <w:sz w:val="32"/>
          <w:szCs w:val="32"/>
          <w:rtl/>
        </w:rPr>
        <w:footnoteReference w:id="228"/>
      </w:r>
      <w:r w:rsidRPr="001609BB">
        <w:rPr>
          <w:rFonts w:ascii="Adobe Arabic" w:eastAsia="Times New Roman" w:hAnsi="Adobe Arabic" w:cs="Adobe Arabic"/>
          <w:color w:val="000000"/>
          <w:sz w:val="32"/>
          <w:szCs w:val="32"/>
          <w:rtl/>
        </w:rPr>
        <w:t>، بقوله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«لا يرثُ الكافرُ المسلمَ».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والدليل على ما ذهب إليه المشهور، أنّ الخبر -كما فرضنا- قطعيُّ الحجّيّة، ومقتضى ذلك أنّه يجب العمل بموجبه، ما لم يمنع منه مانع.</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وممّا استُدِلَّ به على عدم تخصيص الكتاب بخبرِ الواحد (الحجّة)، دليلان، كِلاهما لا يصلحان للدلالة على المدَّعى:</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الدليل الأوّل:</w:t>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قالوا: إنّ الكتاب العزيز كلامُ الله العظيم المنزَّل على نبيّه الكريم، وذلك قطعيٌّ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لا شبهة فيه. وأمّا خبرُ الواحد، فلا يقين بمطابقته للواقع، ولا بصدور مضمونه عن المعصوم؛ إذ لا أقلَّ من احتمال اشتباه الراوي. والعقل لا يجوّز رفع اليد عن أمرٍ مقطوع به لدليلٍ يُحتَمَل فيه الخطأ.</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والجواب عن ذلك:</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الكتاب، وإن كان قطعيّ الصدور، إلّا أنّه لا يقين بأنّ الحكم الواقعيّ على طبق عموماته، فإنّ العمومات إنّما وجب العمل على طِبقها من أجل أنّها ظاهر الكلام، وقد استقرّت سيرة العقلاء على حجّيّة الظواهر، ولم يردع الشارع عن هذه السيرة. ومن البيّن أنّ سيرة العقلاء على حجّيّة الظاهر مختصّة بما إذا لم تقم قرينة على خلاف الظهور، سواء أكانت القرينة متّصلة أو منفصلة؛ فإذا نهضت القرينة على الخلاف، وجب رفع اليد عن الظاهر، والعمل على وفق القرينة. إذًا، فلا مناص من تخصيص عموم الكتاب بخبرِ الواحد، بعد قيام الدليل القطعيّ على حجّيّته. وإن شئت فَقُلْ: إنّ سند الكتاب العزيز، وإن كان قطعيًّا، إلّا أنّ دلالته ظنّيّة، ولا محذور -بحكم العقل- في أن تُرفَع اليد عن الدلالة الظنّيّة لدليلٍ ظنيّ آخر ثبتت حجّيّته بدليل قطعيّ.</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الدليل الثاني:</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قالوا: قد صحّ عن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أن تُعرَض الروايات على الكتاب، وما يكون منها مخالفًا لكتاب الله يلزم طرحه وضربه على الجدار، وهو ممّا لم يقولوه. والخبر الخاصّ المخالف لعموم الكتاب، ممّا تشمله تلك الأدلة، فيجب طرحه وعدم تصديقه.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والجواب عن ذلك:</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مضافًا لِما تقدَّم في الدرس السابق من توضيح المراد من الخبر المخالف للكتاب -والذي يلزم طرحه وضربه عرض الجدار- وأنّه ليس المراد منه ما تكون نسبته إلى الكتاب نسبةَ الخاصّ إلى العامّ أو المقيّد إلى المطلق، فإنّا نعلم أنّه قد صدر عن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كثيرٌ من الأخبار المخصِّصة لعمومات الكتاب، والمقيِّدة لمطلقاته؛ فلو كان التخصيص أو التقييد مخالفةً للكتاب، لَما صحّ قولُهم: "ما خالف قولَ ربَّنا لم نقله، أو هو زخرف، أو باطل"، فيكون صدور ذلك عنهم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دليلًا على أنّ التخصيص أو التقييد ليس من المخالفة في شيء</w:t>
      </w:r>
      <w:r w:rsidR="009C40F8">
        <w:rPr>
          <w:rStyle w:val="FootnoteReference"/>
          <w:rFonts w:ascii="Adobe Arabic" w:eastAsia="Times New Roman" w:hAnsi="Adobe Arabic" w:cs="Adobe Arabic"/>
          <w:color w:val="000000"/>
          <w:sz w:val="32"/>
          <w:szCs w:val="32"/>
          <w:rtl/>
        </w:rPr>
        <w:footnoteReference w:id="229"/>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b/>
          <w:bCs/>
          <w:color w:val="996633"/>
          <w:sz w:val="36"/>
          <w:szCs w:val="36"/>
          <w:rtl/>
        </w:rPr>
      </w:pPr>
      <w:bookmarkStart w:id="47" w:name="_Toc155869543"/>
      <w:r>
        <w:rPr>
          <w:rFonts w:ascii="Adobe Arabic" w:eastAsia="Times New Roman" w:hAnsi="Adobe Arabic" w:cs="Adobe Arabic"/>
          <w:b/>
          <w:bCs/>
          <w:color w:val="996633"/>
          <w:sz w:val="36"/>
          <w:szCs w:val="36"/>
          <w:rtl/>
        </w:rPr>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r w:rsidRPr="00465CD4">
        <w:rPr>
          <w:rFonts w:ascii="Adobe Arabic" w:eastAsia="Times New Roman" w:hAnsi="Adobe Arabic" w:cs="Adobe Arabic"/>
          <w:b/>
          <w:bCs/>
          <w:color w:val="996633"/>
          <w:sz w:val="36"/>
          <w:szCs w:val="36"/>
          <w:rtl/>
        </w:rPr>
        <w:lastRenderedPageBreak/>
        <w:t>نسخ الكتاب بخبرِ الواحد</w:t>
      </w:r>
      <w:bookmarkEnd w:id="47"/>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بيان المراد من النسخ وإمكانه: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النسخ -لغةً- هو الإزالة، وفي الاصطلاح: عبارة عن رفع أمر ثابت في الشريعة المقدّسة، بارتفاع أمده وزمانه، سواء أكان ذلك الأمر المرتفع من الأحكام التكليفيّة أم الوضعيّة، وسواء أكان من المناصب الإلهيّة أم من غيرها من الأمور التي ترجع إلى الله تعالى كونه شارعًا، وإنّما يُقيِّد الرفع بالأمر الثابت في الشريعة، ليخرج به ارتفاع الحكم بسبب ارتفاع موضوعه خارجًا، كارتفاع وجوب الصوم بانتهاء شهر رمضان، وارتفاع وجوب الصلاة بخروج وقتها، وارتفاع مالكيّة شخص لماله بسبب موته، فإنّ هذا النوع من ارتفاع الأحكام لا يُسَمَّى نسخًا، ولا إشكال في إمكانه ووقوعه، ولا خلاف فيه من أحد.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ولتوضيح ذلك، نقول: إنّ الحكم المجعول في الشريعة المقدّسة له نحوان من الثبوت:</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أحدهما: ثبوت ذلك الحكم في عالم التشريع والإنشاء، والحكم في هذه المرحلة يكون مجعولًا على نحو القضيّة الحقيقيّة</w:t>
      </w:r>
      <w:r w:rsidR="009C40F8">
        <w:rPr>
          <w:rStyle w:val="FootnoteReference"/>
          <w:rFonts w:ascii="Adobe Arabic" w:eastAsia="Times New Roman" w:hAnsi="Adobe Arabic" w:cs="Adobe Arabic"/>
          <w:color w:val="000000"/>
          <w:sz w:val="32"/>
          <w:szCs w:val="32"/>
          <w:rtl/>
        </w:rPr>
        <w:footnoteReference w:id="230"/>
      </w:r>
      <w:hyperlink r:id="rId15" w:anchor="footnote-144" w:history="1"/>
      <w:r w:rsidRPr="001609BB">
        <w:rPr>
          <w:rFonts w:ascii="Adobe Arabic" w:eastAsia="Times New Roman" w:hAnsi="Adobe Arabic" w:cs="Adobe Arabic"/>
          <w:color w:val="000000"/>
          <w:sz w:val="32"/>
          <w:szCs w:val="32"/>
          <w:rtl/>
        </w:rPr>
        <w:t>، ولا فرق في ثبوتها بين وجود الموضوع في الخارج وعدمه، وإنّما يكون قوام الحكم بفرض وجود الموضوع. فإذا قال الشارع: شرب الخمر حرام -مثلًا- فليس معناه أنَّ هنا خمرًا في الخارج. وأنَّ هذا الخمر محكوم بالحرمة، بل معناه أنَّ الخمر متى ما فُرِضَ وجوده في الخارج فهو محكوم بالحرمة في الشريعة سواء أكان في الخارج خمرٌ بالفعل أم لم يكن، ورفع هذا الحكم في هذه المرحلة لا يكون إلا بالنسخ.</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وثانيهما: ثبوت ذلك الحكم في الخارج بمعنى أنّ الحكم يعود فعليًّا بسبب فعليّة موضوعه خارجًا، كما إذا تحقَّق وجودُ الخمرِ في الخارج، فإنَّ الحرمة المجعولة في الشريعة للخمر تكون ثابتةً له بالفعل، وهذه الحرمةُ تستمر باستمرار موضوعها، فإذا انقلب خلًّا فلا ريب في ارتفاع تلك الحرمة الفعليّة التي ثبتت له حال خمريته، ولكنَّ ارتفاع هذا الحكم ليس من النسخ في شيء، ولا كلامَ لأحدٍ في جواز ذلك ولا في وقوعه، وإنَّما الكلام في القسم الأول، وهو رفعُ الحكم عن موضوعه في عالم التشريع والإنشاء.</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والحقيقة أنَّ النسخ لا يتجاوزُ الإخبار عن انتفاء الملاك في جعل الحكم في الأزمنة اللاحقة، الملازمِ لارتفاع الحكم وإنْ أُدّي بصيَغِ الرفع في مقام التبليغ.وهو بهذا المعنى يفيد أنَّ الحكمَ المنسوخَ المجعولَ مقيّدٌ في الواقع بزمانٍ خاص معلوم عند الله، وإن لم يُظهر تعالى هذا التقييد في مقام إبرازه للحكم، لكون المصلحةِ قد تقتضي أحيانًا بيان الحكم على نحو العموم أو الإطلاق، والحال أنَّ المراد الواقعيّ هو الخاصّ أو المقيّد.</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وعليه فالنسخُ في الحقيقة تقييد لإطلاق الحكم من حيث الزمان، ولقد أشار القرآن الكريم</w:t>
      </w:r>
      <w:r w:rsidR="009C40F8">
        <w:rPr>
          <w:rStyle w:val="FootnoteReference"/>
          <w:rFonts w:ascii="Adobe Arabic" w:eastAsia="Times New Roman" w:hAnsi="Adobe Arabic" w:cs="Adobe Arabic"/>
          <w:color w:val="000000"/>
          <w:sz w:val="32"/>
          <w:szCs w:val="32"/>
          <w:rtl/>
        </w:rPr>
        <w:footnoteReference w:id="231"/>
      </w:r>
      <w:r w:rsidRPr="001609BB">
        <w:rPr>
          <w:rFonts w:ascii="Adobe Arabic" w:eastAsia="Times New Roman" w:hAnsi="Adobe Arabic" w:cs="Adobe Arabic"/>
          <w:color w:val="000000"/>
          <w:sz w:val="32"/>
          <w:szCs w:val="32"/>
          <w:rtl/>
        </w:rPr>
        <w:t> إلى امكانه وأجمع المسلمون على وقوعه، ولم يُنقَل الخلاف إلا عن أبي مسلم الأصفهاني</w:t>
      </w:r>
      <w:r w:rsidR="009C40F8">
        <w:rPr>
          <w:rStyle w:val="FootnoteReference"/>
          <w:rFonts w:ascii="Adobe Arabic" w:eastAsia="Times New Roman" w:hAnsi="Adobe Arabic" w:cs="Adobe Arabic"/>
          <w:color w:val="000000"/>
          <w:sz w:val="32"/>
          <w:szCs w:val="32"/>
          <w:rtl/>
        </w:rPr>
        <w:footnoteReference w:id="232"/>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إمكان نسخ القرآن الكريم بخبرِ الواحد</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مقتضى القاعدةِ الأوليّة هو جوازُ النسخ بخبر الواحد لو ثبت ذلك بالدليل القطعي، لما تقدّم من أنَّ النسخ في الحقيقة تقييد أو تخصيص للحكم من حيث الزمان بدليلٍ منفصلٍ، وهو صنف آخر من القرينيّة كالتخصيص المصطلح الذي اتضّح سابقًا عدم كونه معارضا للكتاب تلك المعارضة المسقطة لحجّيّة الخبر.</w:t>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ولكن قام الإجماع بين المسلمين كافّة، على عدم جواز نسخ الكتاب بخبرِ الواحد، وعدم وقوعه. وهذا الإجماع ليس إجماعًا تعبُّديًّا، بل له منشأ، وهو أنّ بعض الأمور من شأنها أن تُنقَل بالتواتر لو تحقَّقَت في الخارج، فيَكشِف عدمُ اشتهارها عن عدمِ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تحقُّقها. والنسخ من هذا القبيل، فإنّه لو كان جائزًا بخبرِ الواحد، لبانَ واشتهر بين علماء المسلمين عامّة، فلا يكون قابلًا للإنكار، فنستكشف من عدم اشتهاره بين المسلمين أجمع، كشفًا قطعيًّا عن عدم وقوعه، وأنّه لا يجوز نسخ الكتاب به.</w:t>
      </w:r>
    </w:p>
    <w:p w:rsidR="00932FF5"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وعليه، فلو دلّ خبر الواحد على نسخ الكتاب، فلا بدَّ من طرحِه وحمله إمّا على كذب الراوي، أو على خطئه، أو سهوِ</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كما هو الحال، بالإضافة إلى إثبات قرآنيّة القرآن، حيث إنّها لا تثبت بخبرِ الواحد، وإنّما تثبت بالخبر المتواتر عن النبيّ الأكرم  </w:t>
      </w:r>
      <w:r w:rsidR="001609BB" w:rsidRPr="001609BB">
        <w:rPr>
          <w:rFonts w:ascii="Adobe Arabic" w:eastAsia="Times New Roman" w:hAnsi="Adobe Arabic" w:cs="Adobe Arabic"/>
          <w:color w:val="000000"/>
          <w:sz w:val="32"/>
          <w:szCs w:val="32"/>
          <w:rtl/>
        </w:rPr>
        <w:t>(صلى الله عليه وآله)</w:t>
      </w:r>
      <w:r w:rsidR="009C40F8">
        <w:rPr>
          <w:rStyle w:val="FootnoteReference"/>
          <w:rFonts w:ascii="Adobe Arabic" w:eastAsia="Times New Roman" w:hAnsi="Adobe Arabic" w:cs="Adobe Arabic"/>
          <w:color w:val="000000"/>
          <w:sz w:val="32"/>
          <w:szCs w:val="32"/>
          <w:rtl/>
        </w:rPr>
        <w:footnoteReference w:id="233"/>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64226D"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48" w:name="_Toc155869544"/>
      <w:r w:rsidRPr="0064226D">
        <w:rPr>
          <w:rFonts w:ascii="Adobe Arabic" w:eastAsia="Times New Roman" w:hAnsi="Adobe Arabic" w:cs="Adobe Arabic"/>
          <w:b/>
          <w:bCs/>
          <w:color w:val="538135" w:themeColor="accent6" w:themeShade="BF"/>
          <w:sz w:val="40"/>
          <w:szCs w:val="40"/>
          <w:rtl/>
        </w:rPr>
        <w:lastRenderedPageBreak/>
        <w:t>الدرس الحادي عشر</w:t>
      </w:r>
      <w:r w:rsidR="000D4298">
        <w:rPr>
          <w:rFonts w:ascii="Adobe Arabic" w:eastAsia="Times New Roman" w:hAnsi="Adobe Arabic" w:cs="Adobe Arabic" w:hint="cs"/>
          <w:b/>
          <w:bCs/>
          <w:color w:val="538135" w:themeColor="accent6" w:themeShade="BF"/>
          <w:sz w:val="40"/>
          <w:szCs w:val="40"/>
          <w:rtl/>
        </w:rPr>
        <w:t xml:space="preserve">: </w:t>
      </w:r>
      <w:r w:rsidRPr="0064226D">
        <w:rPr>
          <w:rFonts w:ascii="Adobe Arabic" w:eastAsia="Times New Roman" w:hAnsi="Adobe Arabic" w:cs="Adobe Arabic"/>
          <w:b/>
          <w:bCs/>
          <w:color w:val="538135" w:themeColor="accent6" w:themeShade="BF"/>
          <w:sz w:val="40"/>
          <w:szCs w:val="40"/>
          <w:rtl/>
        </w:rPr>
        <w:t>حجّيّة السنّة المحكيّة الظنّيّة في تفسير القرآن الكريم</w:t>
      </w:r>
      <w:bookmarkEnd w:id="48"/>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الآراء حول حجّيّة خبرِ الواحد في التفسير.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يتعرّف -إجمالًا- طرق تفسير السنّة للقرآن الكريم، وأساليبها.</w:t>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49" w:name="_Toc155869545"/>
      <w:r w:rsidRPr="00465CD4">
        <w:rPr>
          <w:rFonts w:ascii="Adobe Arabic" w:eastAsia="Times New Roman" w:hAnsi="Adobe Arabic" w:cs="Adobe Arabic"/>
          <w:b/>
          <w:bCs/>
          <w:color w:val="996633"/>
          <w:sz w:val="36"/>
          <w:szCs w:val="36"/>
          <w:rtl/>
        </w:rPr>
        <w:lastRenderedPageBreak/>
        <w:t>تمهيد</w:t>
      </w:r>
      <w:bookmarkEnd w:id="49"/>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اتّضح في البحوث السابقة، حجّيّة السنّة الواقعيّة في مجال تفسير القرآن وغيره، كما اتّضح -إجمالًا- صلاحيّة السنّة الظنّيّة في بعض المواطن في تبيين الكتاب في الأمور الشرعيّة كتخصيصه وتقييده وعدم صلاحيّتها في مواطن أخرى، كنسخه.</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ذهب معظم الأُصوليّين إلى حجّيّة السنّة المحكيّة بخبرِ الواحد الثقة، في الأمور الشرعيّة، واستدلّوا عليه بالكتاب والسنّة والإجماع وسيرتَي العقلاء والمتشرّعة</w:t>
      </w:r>
      <w:r w:rsidR="009C40F8">
        <w:rPr>
          <w:rStyle w:val="FootnoteReference"/>
          <w:rFonts w:ascii="Adobe Arabic" w:eastAsia="Times New Roman" w:hAnsi="Adobe Arabic" w:cs="Adobe Arabic"/>
          <w:color w:val="000000"/>
          <w:sz w:val="32"/>
          <w:szCs w:val="32"/>
          <w:rtl/>
        </w:rPr>
        <w:footnoteReference w:id="234"/>
      </w:r>
      <w:r w:rsidRPr="001609BB">
        <w:rPr>
          <w:rFonts w:ascii="Adobe Arabic" w:eastAsia="Times New Roman" w:hAnsi="Adobe Arabic" w:cs="Adobe Arabic"/>
          <w:color w:val="000000"/>
          <w:sz w:val="32"/>
          <w:szCs w:val="32"/>
          <w:rtl/>
        </w:rPr>
        <w:t>، وتفصيل الكلام في ذلك موكولٌ إلى محلّه من أبحاث أصول الفقه.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ومدار البحث هنا ليس حول ذلك بل حول صلاحيّة هذه السنّة الظنّيّة -التي هي عبارة عن أخبار آحاد غير مقترنة بقرائن تفيد القطع واليقين- ومدى إمكانيّة الاعتماد عليها في تفسير القرآن الكريم في غير الأمور الشرعيّة.</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0" w:name="_Toc155869546"/>
      <w:r w:rsidRPr="00465CD4">
        <w:rPr>
          <w:rFonts w:ascii="Adobe Arabic" w:eastAsia="Times New Roman" w:hAnsi="Adobe Arabic" w:cs="Adobe Arabic"/>
          <w:b/>
          <w:bCs/>
          <w:color w:val="996633"/>
          <w:sz w:val="36"/>
          <w:szCs w:val="36"/>
          <w:rtl/>
        </w:rPr>
        <w:t>الآراء حول حجّيّة خبرِ الواحد في التفسير</w:t>
      </w:r>
      <w:bookmarkEnd w:id="50"/>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ذهب جماعةٌ من علماء الشيعة والسنّة إلى صحّة الاعتماد على خبرِ الواحد الثقة أو الموثوق، بشروطه، في التفسير، ومن هؤلاء:</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الزركشيّ: فإنّه يظهر من استثنائه الحديث الضعيف والموضوع، اعتمادُ</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على أنواع الحديث الأخرى غير المبتلية بهذه الآفات في التفسير. قال في البرهان في علوم القرآن: "لطالب التَّفْسِيرِ مَآخِذُ كَثِيرَةٌ، أُمَّهَاتُهَا أَرْبَعَةٌ:</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الْأَوَّلُ: النَّقْلُ عَنْ 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وَهَذَا هُوَ الطِّرَازُ الْأَوَّلُ، لَكِنْ يَجِبُ الْحَذَرُ مِنَ الضَّعِيفِ فِيهِ وَالْمَوْضُوعِ فَإِنَّهُ كَثِيرٌ"</w:t>
      </w:r>
      <w:r w:rsidR="009C40F8">
        <w:rPr>
          <w:rStyle w:val="FootnoteReference"/>
          <w:rFonts w:ascii="Adobe Arabic" w:eastAsia="Times New Roman" w:hAnsi="Adobe Arabic" w:cs="Adobe Arabic"/>
          <w:color w:val="000000"/>
          <w:sz w:val="32"/>
          <w:szCs w:val="32"/>
          <w:rtl/>
        </w:rPr>
        <w:footnoteReference w:id="235"/>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السيّد الخوئيّ</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فقد قرّر الإشكال على الاستفادة من خبرِ الواحد الموثوق، وأجاب عنه في تفسيره البيان. قال: "ولا شبهة في ثبوت قولهم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إذا دلّ عليه طريقٌ قطعيّ لا شكّ فيه، كما أنّه لا شبهة في عدم ثبوته إذا دلّ عليه خبرٌ ضعيف غير جامع لشرائط الحجّيّة. وهل يثبت بطريقٍ ظنّيّ دلَّ على اعتبارِ</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دليلٌ قطعيّ؟ فيه كلامٌ بين الأعلام.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وقد يشكل في حجّيّة خبرِ الواحد الثقة إذا ورد عن المعصومين</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في تفسير الكتاب. ووجه الإشكال في ذلك أنّ معنى الحجّيّة التي ثبتت لخبرِ الواحد، أو لغيره من الأدلّة الظنّيّة، هو وجوب ترتيب الآثار عليه عملًا في حال الجهل بالواقع، كما تترتّب على الواقع لو قطع به، وهذا المعنى لا يتحقّق إلّا إذا كان مؤدّى الخبر حكمًا شرعيًّا، أو موضوعًا قد رتّب الشارع عليه حكمًا شرعيًّا، وهذا الشرط قد لا يوجد في خبرِ الواحد الذي يُروَى عن المعصومين في التفسير.</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وهذا الإشكال خلاف التحقيق؛ فإنّا قد أوضحنا في مباحث "علم الأصول" أنّ معنى الحجّيّة في الأمارة الناظرة إلى الواقع، هو جعلها علمًا تعبُّديًّا في حُكم الشارع، فيكون الطريق المعتَبَر فردًا من أفراد العلم، ولكنّه فردٌ تعبُّديّ، لا وجدانيّ، فيترتّب عليه كلّ ما يترتب على القطع من الآثار، فيصحّ الإخبار على طِبقه، كما يصحّ أن يخبر على طِبق العلم الوجدانيّ، ولا يكون من القول بغير علم.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ويدلّنا على ذلك سيرةُ العقلاء؛ فإنّهم يعامِلون الطريق المعتَبَر معاملةَ العلم الوجدانيّ، من غير فرق بين الآثار، فإنّ اليد –مثلًا- أمارةٌ عند العقلاء، على مالكيّة صاحب اليد لِما في يده، فهم يرتّبون له آثار المالكيّة، وهم يخبرون عن كونه مالكًا للشيء بلا نكير، ولم يثبت من الشارع ردعٌ لهذه السيرة العقلائيّة المستمرّة.</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نعم، يُعتَبَر في الخبر الموثوق به، وفى غيره من الطرق المعتَبَرة، أن يكون جامعًا لشرائط الحجّيّة، ومنها أن لا يكون الخبر مقطوع الكذب، فإنّ مقطوع الكذب لا يُعقَل أن يشمله دليل الحجّيّة والتعبّد؛ وعلى ذلك، فالأخبار التي تكون مخالفة للإجماع، أو للسنّة القطعيّة، أو الكتاب، أو الحكم العقليّ الصحيح، لا تكون حجّة قطعًا، وإن استجمعت بقيّة الشرائط المعتَبَرة في الحجّيّة. ولا فرق في ذلك بين الأخبار المتكفّلة لبيان الحكم الشرعيّ، وغيرها"</w:t>
      </w:r>
      <w:r w:rsidR="009C40F8">
        <w:rPr>
          <w:rStyle w:val="FootnoteReference"/>
          <w:rFonts w:ascii="Adobe Arabic" w:eastAsia="Times New Roman" w:hAnsi="Adobe Arabic" w:cs="Adobe Arabic"/>
          <w:color w:val="000000"/>
          <w:sz w:val="32"/>
          <w:szCs w:val="32"/>
          <w:rtl/>
        </w:rPr>
        <w:footnoteReference w:id="236"/>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وفي مقابل هذه الجماعة، ذهب أعلامٌ آخرون إلى المنع، منهم:</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الشيخ الطوسيّ</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قال في تفسيره التبيان، محذّرا من تقليد المفسّرين: "ولا يجوز لأحد أن يقلّد أحدًا منهم، بل ينبغي أن يرجع إلى الأدلّة الصحيحة: إمّا العقليّة، أو الشرعيّة، من إجماع عليه، أو نقل متواتر به، عمّن يجب اتّباع قوله، ولا يقبل في ذلك خبرَ واحد، خاصّة إذا كان ممّا طريقه العلم. ومتى كان التأويل يحتاج إلى شاهد من اللغة، فلا يقبل من الشاهد إلّا ما كان معلومًا بين أهل اللغة، شائعًا بينهم. وأمّا طريقة الآحاد من الروايات الشاردة والألفاظ النادرة، فإنّه لا يقطع بذلك، ولا يجعل شاهدًا على كتاب الله، وينبغي أن يتوقّف فيه"</w:t>
      </w:r>
      <w:r w:rsidR="009C40F8">
        <w:rPr>
          <w:rStyle w:val="FootnoteReference"/>
          <w:rFonts w:ascii="Adobe Arabic" w:eastAsia="Times New Roman" w:hAnsi="Adobe Arabic" w:cs="Adobe Arabic"/>
          <w:color w:val="000000"/>
          <w:sz w:val="32"/>
          <w:szCs w:val="32"/>
          <w:rtl/>
        </w:rPr>
        <w:footnoteReference w:id="237"/>
      </w:r>
      <w:r w:rsidRPr="001609BB">
        <w:rPr>
          <w:rFonts w:ascii="Adobe Arabic" w:eastAsia="Times New Roman" w:hAnsi="Adobe Arabic" w:cs="Adobe Arabic"/>
          <w:color w:val="000000"/>
          <w:sz w:val="32"/>
          <w:szCs w:val="32"/>
          <w:rtl/>
        </w:rPr>
        <w:t>.</w:t>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العلَّامة الطباطبائيّ</w:t>
      </w:r>
      <w:r w:rsidR="001609BB" w:rsidRPr="001609BB">
        <w:rPr>
          <w:rFonts w:ascii="Adobe Arabic" w:eastAsia="Times New Roman" w:hAnsi="Adobe Arabic" w:cs="Adobe Arabic"/>
          <w:color w:val="000000"/>
          <w:sz w:val="32"/>
          <w:szCs w:val="32"/>
          <w:rtl/>
        </w:rPr>
        <w:t>(قدس سره)</w:t>
      </w:r>
      <w:r w:rsidRPr="001609BB">
        <w:rPr>
          <w:rFonts w:ascii="Adobe Arabic" w:eastAsia="Times New Roman" w:hAnsi="Adobe Arabic" w:cs="Adobe Arabic"/>
          <w:color w:val="000000"/>
          <w:sz w:val="32"/>
          <w:szCs w:val="32"/>
          <w:rtl/>
        </w:rPr>
        <w:t>: قال في سياق تفسيره للآية 44 من سورة النحل: "هذا كلّه في نفس بيانهم [يقصد بيان النبيّ وآله</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xml:space="preserve"> ] المتلقّى بالمشافهة، وأمّا الخبر الحاكي له، فما كان منه بيانًا متواترًا أو محفوفًا بقرينة قطعيّة وما يلحق به، فهو حجّة؛ لكونه بيانهم، وأمّا ما كان مخالفًا للكتاب، أو غير مخالف لكنّه ليس بمتواتر ولا محفوفًا بالقرينة، فلا حجّيّة فيه؛ لعدم كونه بيانًا في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الأوّل</w:t>
      </w:r>
      <w:r w:rsidR="009C40F8">
        <w:rPr>
          <w:rStyle w:val="FootnoteReference"/>
          <w:rFonts w:ascii="Adobe Arabic" w:eastAsia="Times New Roman" w:hAnsi="Adobe Arabic" w:cs="Adobe Arabic"/>
          <w:color w:val="000000"/>
          <w:sz w:val="32"/>
          <w:szCs w:val="32"/>
          <w:rtl/>
        </w:rPr>
        <w:footnoteReference w:id="238"/>
      </w:r>
      <w:r w:rsidRPr="001609BB">
        <w:rPr>
          <w:rFonts w:ascii="Adobe Arabic" w:eastAsia="Times New Roman" w:hAnsi="Adobe Arabic" w:cs="Adobe Arabic"/>
          <w:color w:val="000000"/>
          <w:sz w:val="32"/>
          <w:szCs w:val="32"/>
          <w:rtl/>
        </w:rPr>
        <w:t>، وعدم إحراز البيانيّة في الثاني</w:t>
      </w:r>
      <w:r w:rsidR="009C40F8">
        <w:rPr>
          <w:rStyle w:val="FootnoteReference"/>
          <w:rFonts w:ascii="Adobe Arabic" w:eastAsia="Times New Roman" w:hAnsi="Adobe Arabic" w:cs="Adobe Arabic"/>
          <w:color w:val="000000"/>
          <w:sz w:val="32"/>
          <w:szCs w:val="32"/>
          <w:rtl/>
        </w:rPr>
        <w:footnoteReference w:id="239"/>
      </w:r>
      <w:r w:rsidRPr="001609BB">
        <w:rPr>
          <w:rFonts w:ascii="Adobe Arabic" w:eastAsia="Times New Roman" w:hAnsi="Adobe Arabic" w:cs="Adobe Arabic"/>
          <w:color w:val="000000"/>
          <w:sz w:val="32"/>
          <w:szCs w:val="32"/>
          <w:rtl/>
        </w:rPr>
        <w:t>، وللتفصيل محلّ آخر"</w:t>
      </w:r>
      <w:r w:rsidR="009C40F8">
        <w:rPr>
          <w:rStyle w:val="FootnoteReference"/>
          <w:rFonts w:ascii="Adobe Arabic" w:eastAsia="Times New Roman" w:hAnsi="Adobe Arabic" w:cs="Adobe Arabic"/>
          <w:color w:val="000000"/>
          <w:sz w:val="32"/>
          <w:szCs w:val="32"/>
          <w:rtl/>
        </w:rPr>
        <w:footnoteReference w:id="240"/>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وسنفرد الملحق الأوّل الآتي للحديث بصورة أكثر تفصيليّة عن رؤية العلَّامة الطباطبائيّ للعلاقة بين القرآن والسنّة (الواقعيّة والمحكيّة).</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1" w:name="_Toc155869547"/>
      <w:r w:rsidRPr="00465CD4">
        <w:rPr>
          <w:rFonts w:ascii="Adobe Arabic" w:eastAsia="Times New Roman" w:hAnsi="Adobe Arabic" w:cs="Adobe Arabic"/>
          <w:b/>
          <w:bCs/>
          <w:color w:val="996633"/>
          <w:sz w:val="36"/>
          <w:szCs w:val="36"/>
          <w:rtl/>
        </w:rPr>
        <w:t>طرق تفسير السنّة للقرآن الكريم وأساليبها</w:t>
      </w:r>
      <w:bookmarkEnd w:id="51"/>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ذُكِرَت لتفسير القرآن بالسنّة، أساليب عديدة، تحتاج إلى الاستقراء من كتب التفسير بالمأثور، منها</w:t>
      </w:r>
      <w:r w:rsidR="009C40F8">
        <w:rPr>
          <w:rStyle w:val="FootnoteReference"/>
          <w:rFonts w:ascii="Adobe Arabic" w:eastAsia="Times New Roman" w:hAnsi="Adobe Arabic" w:cs="Adobe Arabic"/>
          <w:color w:val="000000"/>
          <w:sz w:val="32"/>
          <w:szCs w:val="32"/>
          <w:rtl/>
        </w:rPr>
        <w:footnoteReference w:id="241"/>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1. توضيح مفردات الآية</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ساهمَت بعضُ الروايات في توضيح بعض الكلمات المبهمة والمجملة، وكشفت الغطاء عن بعض الألفاظ الصعبة. ومثال ذلك ما ورد في توضيح قوله تعالى: </w:t>
      </w:r>
      <w:r w:rsidRPr="008711A0">
        <w:rPr>
          <w:rFonts w:ascii="Traditional Arabic" w:eastAsia="Times New Roman" w:hAnsi="Traditional Arabic" w:cs="Traditional Arabic"/>
          <w:b/>
          <w:bCs/>
          <w:color w:val="538135" w:themeColor="accent6" w:themeShade="BF"/>
          <w:sz w:val="32"/>
          <w:szCs w:val="32"/>
          <w:rtl/>
        </w:rPr>
        <w:t>﴿وَٱلنَّخ</w:t>
      </w:r>
      <w:r w:rsidRPr="008711A0">
        <w:rPr>
          <w:rFonts w:ascii="Traditional Arabic" w:eastAsia="Times New Roman" w:hAnsi="Traditional Arabic" w:cs="Traditional Arabic" w:hint="cs"/>
          <w:b/>
          <w:bCs/>
          <w:color w:val="538135" w:themeColor="accent6" w:themeShade="BF"/>
          <w:sz w:val="32"/>
          <w:szCs w:val="32"/>
          <w:rtl/>
        </w:rPr>
        <w:t>ۡلَ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بَاسِقَٰت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طَلۡع</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نَّضِيد﴾</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42"/>
      </w:r>
      <w:r w:rsidRPr="001609BB">
        <w:rPr>
          <w:rFonts w:ascii="Adobe Arabic" w:eastAsia="Times New Roman" w:hAnsi="Adobe Arabic" w:cs="Adobe Arabic"/>
          <w:color w:val="000000"/>
          <w:sz w:val="32"/>
          <w:szCs w:val="32"/>
          <w:rtl/>
        </w:rPr>
        <w:t>، فقد سُئِل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عن "بسوقها"، فأجاب: "طولها"</w:t>
      </w:r>
      <w:r w:rsidR="009C40F8">
        <w:rPr>
          <w:rStyle w:val="FootnoteReference"/>
          <w:rFonts w:ascii="Adobe Arabic" w:eastAsia="Times New Roman" w:hAnsi="Adobe Arabic" w:cs="Adobe Arabic"/>
          <w:color w:val="000000"/>
          <w:sz w:val="32"/>
          <w:szCs w:val="32"/>
          <w:rtl/>
        </w:rPr>
        <w:footnoteReference w:id="243"/>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2. تطبيق الآية على مصداق خاصّ</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فقد جاءت بعض الأحاديث لبيان مصداق المفاهيم التي ذُكِرَت بألفاظ الآية، وهذا الطريق في التفسير على ثلاثة أنواع:</w:t>
      </w:r>
    </w:p>
    <w:p w:rsidR="00932FF5"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أ. بيان مصداق لا ينحصر تطبيق المفهوم فيه، وليس بالضرورة المصداق الأكمل: ويكثر ذلك في الروايات الفقهيّة. مثال ذلك ما ورد عن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تفسير المراد من كسوة المساكين، الوارد في الآية 89 من سورة المائدة </w:t>
      </w:r>
      <w:r w:rsidRPr="008711A0">
        <w:rPr>
          <w:rFonts w:ascii="Traditional Arabic" w:eastAsia="Times New Roman" w:hAnsi="Traditional Arabic" w:cs="Traditional Arabic"/>
          <w:b/>
          <w:bCs/>
          <w:color w:val="538135" w:themeColor="accent6" w:themeShade="BF"/>
          <w:sz w:val="32"/>
          <w:szCs w:val="32"/>
          <w:rtl/>
        </w:rPr>
        <w:t>﴿أَو</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كِسۡوَتُهُمۡ﴾</w:t>
      </w:r>
      <w:r w:rsidRPr="001609BB">
        <w:rPr>
          <w:rFonts w:ascii="Adobe Arabic" w:eastAsia="Times New Roman" w:hAnsi="Adobe Arabic" w:cs="Adobe Arabic" w:hint="cs"/>
          <w:color w:val="000000"/>
          <w:sz w:val="32"/>
          <w:szCs w:val="32"/>
          <w:rtl/>
        </w:rPr>
        <w:t> كأحد</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أفراد</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الكفّارة،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قال</w:t>
      </w:r>
      <w:r w:rsidRPr="001609BB">
        <w:rPr>
          <w:rFonts w:ascii="Adobe Arabic" w:eastAsia="Times New Roman" w:hAnsi="Adobe Arabic" w:cs="Adobe Arabic"/>
          <w:color w:val="000000"/>
          <w:sz w:val="32"/>
          <w:szCs w:val="32"/>
          <w:rtl/>
        </w:rPr>
        <w:t>: "</w:t>
      </w:r>
      <w:r w:rsidRPr="001609BB">
        <w:rPr>
          <w:rFonts w:ascii="Adobe Arabic" w:eastAsia="Times New Roman" w:hAnsi="Adobe Arabic" w:cs="Adobe Arabic" w:hint="cs"/>
          <w:color w:val="000000"/>
          <w:sz w:val="32"/>
          <w:szCs w:val="32"/>
          <w:rtl/>
        </w:rPr>
        <w:t>عباءة</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لكلّ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مسكين</w:t>
      </w:r>
      <w:r w:rsidRPr="001609BB">
        <w:rPr>
          <w:rFonts w:ascii="Adobe Arabic" w:eastAsia="Times New Roman" w:hAnsi="Adobe Arabic" w:cs="Adobe Arabic"/>
          <w:color w:val="000000"/>
          <w:sz w:val="32"/>
          <w:szCs w:val="32"/>
          <w:rtl/>
        </w:rPr>
        <w:t>"</w:t>
      </w:r>
      <w:r w:rsidR="009C40F8">
        <w:rPr>
          <w:rStyle w:val="FootnoteReference"/>
          <w:rFonts w:ascii="Adobe Arabic" w:eastAsia="Times New Roman" w:hAnsi="Adobe Arabic" w:cs="Adobe Arabic"/>
          <w:color w:val="000000"/>
          <w:sz w:val="32"/>
          <w:szCs w:val="32"/>
          <w:rtl/>
        </w:rPr>
        <w:footnoteReference w:id="244"/>
      </w:r>
      <w:r w:rsidRPr="001609BB">
        <w:rPr>
          <w:rFonts w:ascii="Adobe Arabic" w:eastAsia="Times New Roman" w:hAnsi="Adobe Arabic" w:cs="Adobe Arabic"/>
          <w:color w:val="000000"/>
          <w:sz w:val="32"/>
          <w:szCs w:val="32"/>
          <w:rtl/>
        </w:rPr>
        <w:t xml:space="preserve">. ومن الواضح أنّ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العباءة ليست هي المصداق الوحيد للكسوة، بل هي أحد المصاديق؛ لذا لا تختصّ الكسوة في الآية بالعباءة.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ب. بيان المصداق الأتمّ والأكمل للمفهوم الوارد في الآية، وإن لم ينحصر التطبيق به: ومثال ذلك ما ورد من تفسير "الصراط المستقيم" في سورة الحمد بأمير المؤمنين عليّ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ج. بيان المصداق الوحيد الذي ينحصر تطبيق المفهوم فيه: ومثال ذلك من الروايات التي مرَّت معنا في تحديد المراد بـ "أهل البيت" في آية التطهير، وحصرهم في جماعة معيّنة، والروايات التي وردت في بيان مصداق الأبناء والنساء والأنفس المنتسبة لرسول الله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آية المباهلة: </w:t>
      </w:r>
      <w:r w:rsidRPr="008711A0">
        <w:rPr>
          <w:rFonts w:ascii="Traditional Arabic" w:eastAsia="Times New Roman" w:hAnsi="Traditional Arabic" w:cs="Traditional Arabic"/>
          <w:b/>
          <w:bCs/>
          <w:color w:val="538135" w:themeColor="accent6" w:themeShade="BF"/>
          <w:sz w:val="32"/>
          <w:szCs w:val="32"/>
          <w:rtl/>
        </w:rPr>
        <w:t>﴿أَب</w:t>
      </w:r>
      <w:r w:rsidRPr="008711A0">
        <w:rPr>
          <w:rFonts w:ascii="Traditional Arabic" w:eastAsia="Times New Roman" w:hAnsi="Traditional Arabic" w:cs="Traditional Arabic" w:hint="cs"/>
          <w:b/>
          <w:bCs/>
          <w:color w:val="538135" w:themeColor="accent6" w:themeShade="BF"/>
          <w:sz w:val="32"/>
          <w:szCs w:val="32"/>
          <w:rtl/>
        </w:rPr>
        <w:t>ۡنَآءَنَا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وَأَبۡنَآءَكُمۡ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وَنِسَآءَنَا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وَنِسَآءَكُمۡ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وَأَنفُسَنَا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وَأَنفُسَكُمۡ﴾</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45"/>
      </w:r>
      <w:r w:rsidRPr="001609BB">
        <w:rPr>
          <w:rFonts w:ascii="Adobe Arabic" w:eastAsia="Times New Roman" w:hAnsi="Adobe Arabic" w:cs="Adobe Arabic"/>
          <w:color w:val="000000"/>
          <w:sz w:val="32"/>
          <w:szCs w:val="32"/>
          <w:rtl/>
        </w:rPr>
        <w:t>، ووليّ المؤمنين في آية الولاية: </w:t>
      </w:r>
      <w:r w:rsidRPr="008711A0">
        <w:rPr>
          <w:rFonts w:ascii="Traditional Arabic" w:eastAsia="Times New Roman" w:hAnsi="Traditional Arabic" w:cs="Traditional Arabic"/>
          <w:b/>
          <w:bCs/>
          <w:color w:val="538135" w:themeColor="accent6" w:themeShade="BF"/>
          <w:sz w:val="32"/>
          <w:szCs w:val="32"/>
          <w:rtl/>
        </w:rPr>
        <w:t>﴿إِنَّمَا وَلِيُّكُمُ ٱللَّهُ وَرَسُولُهُ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ءَامَنُواْ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يُقِيمُونَ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ٱلصَّلَوٰةَ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وَيُؤۡتُونَ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ٱلزَّكَوٰةَ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رَٰكِعُونَ﴾</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46"/>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3. بيان جزئيّات الأحكام</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ذكرنا في الدرس السابق ثلاثة أقسام من بيان السنّة الظنّيّة للأحكام في القرآن الكريم، ونقلنا إمكانه وأمثلة عليه في التخصيص والتقييد لعموم آيات الأحكام وإطلاقها، والإجماع من الأمّة على عدم صحّته في النسخ. ويبقى إمكان النسخ بالسنّة المتواترة، كما قيل في نسخ الحكم المستفاد من السنّة الشريفة في رجم الزاني المحصن</w:t>
      </w:r>
      <w:r w:rsidR="009C40F8">
        <w:rPr>
          <w:rStyle w:val="FootnoteReference"/>
          <w:rFonts w:ascii="Adobe Arabic" w:eastAsia="Times New Roman" w:hAnsi="Adobe Arabic" w:cs="Adobe Arabic"/>
          <w:color w:val="000000"/>
          <w:sz w:val="32"/>
          <w:szCs w:val="32"/>
          <w:rtl/>
        </w:rPr>
        <w:footnoteReference w:id="247"/>
      </w:r>
      <w:r w:rsidRPr="001609BB">
        <w:rPr>
          <w:rFonts w:ascii="Adobe Arabic" w:eastAsia="Times New Roman" w:hAnsi="Adobe Arabic" w:cs="Adobe Arabic"/>
          <w:color w:val="000000"/>
          <w:sz w:val="32"/>
          <w:szCs w:val="32"/>
          <w:rtl/>
        </w:rPr>
        <w:t> للحكم المستفاد من قوله تعالى: </w:t>
      </w:r>
      <w:r w:rsidRPr="008711A0">
        <w:rPr>
          <w:rFonts w:ascii="Traditional Arabic" w:eastAsia="Times New Roman" w:hAnsi="Traditional Arabic" w:cs="Traditional Arabic"/>
          <w:b/>
          <w:bCs/>
          <w:color w:val="538135" w:themeColor="accent6" w:themeShade="BF"/>
          <w:sz w:val="32"/>
          <w:szCs w:val="32"/>
          <w:rtl/>
        </w:rPr>
        <w:t>﴿وَٱلَّذَانِ يَأ</w:t>
      </w:r>
      <w:r w:rsidRPr="008711A0">
        <w:rPr>
          <w:rFonts w:ascii="Traditional Arabic" w:eastAsia="Times New Roman" w:hAnsi="Traditional Arabic" w:cs="Traditional Arabic" w:hint="cs"/>
          <w:b/>
          <w:bCs/>
          <w:color w:val="538135" w:themeColor="accent6" w:themeShade="BF"/>
          <w:sz w:val="32"/>
          <w:szCs w:val="32"/>
          <w:rtl/>
        </w:rPr>
        <w:t>ۡتِيَٰنِهَا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مِنكُمۡ</w:t>
      </w:r>
      <w:r w:rsidRPr="008711A0">
        <w:rPr>
          <w:rFonts w:ascii="Traditional Arabic" w:eastAsia="Times New Roman" w:hAnsi="Traditional Arabic" w:cs="Traditional Arabic"/>
          <w:b/>
          <w:bCs/>
          <w:color w:val="538135" w:themeColor="accent6" w:themeShade="BF"/>
          <w:sz w:val="32"/>
          <w:szCs w:val="32"/>
          <w:rtl/>
        </w:rPr>
        <w:t xml:space="preserve"> فَ‍َٔاذُوهُمَا</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تَابَا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وَأَصۡلَحَا</w:t>
      </w:r>
      <w:r w:rsidRPr="008711A0">
        <w:rPr>
          <w:rFonts w:ascii="Traditional Arabic" w:eastAsia="Times New Roman" w:hAnsi="Traditional Arabic" w:cs="Traditional Arabic"/>
          <w:b/>
          <w:bCs/>
          <w:color w:val="538135" w:themeColor="accent6" w:themeShade="BF"/>
          <w:sz w:val="32"/>
          <w:szCs w:val="32"/>
          <w:rtl/>
        </w:rPr>
        <w:br/>
      </w:r>
      <w:r w:rsidRPr="008711A0">
        <w:rPr>
          <w:rFonts w:ascii="Traditional Arabic" w:eastAsia="Times New Roman" w:hAnsi="Traditional Arabic" w:cs="Traditional Arabic" w:hint="cs"/>
          <w:b/>
          <w:bCs/>
          <w:color w:val="538135" w:themeColor="accent6" w:themeShade="BF"/>
          <w:sz w:val="32"/>
          <w:szCs w:val="32"/>
          <w:rtl/>
        </w:rPr>
        <w:t>فَأَعۡرِضُواْ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عَنۡهُمَآۗ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تَوَّابا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رَّحِيمًا﴾</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48"/>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ومن وظائف السنّة تجاه الأحكام الواردة في القرآن الكريم، بيانُ متعلّقاتها، كالصلاة والصوم والحجّ وغيرها؛ فإنّ ما ورد في كيفيّة أداء هذه التكاليف في القرآن الكريم هو النزر اليسير بحسب فهم عامّة الناس، وتُرِك للنبيّ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وأوصيائه بيانُ تفاصيلها للناس، فتعلّم المسلمون منه</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الصلاة مثلًا، اعتمادًا على ما رُوِيَ عنه: "صلّوا كما رأيتموني أصلّي"</w:t>
      </w:r>
      <w:r w:rsidR="009C40F8">
        <w:rPr>
          <w:rStyle w:val="FootnoteReference"/>
          <w:rFonts w:ascii="Adobe Arabic" w:eastAsia="Times New Roman" w:hAnsi="Adobe Arabic" w:cs="Adobe Arabic"/>
          <w:color w:val="000000"/>
          <w:sz w:val="32"/>
          <w:szCs w:val="32"/>
          <w:rtl/>
        </w:rPr>
        <w:footnoteReference w:id="249"/>
      </w:r>
      <w:r w:rsidRPr="001609BB">
        <w:rPr>
          <w:rFonts w:ascii="Adobe Arabic" w:eastAsia="Times New Roman" w:hAnsi="Adobe Arabic" w:cs="Adobe Arabic"/>
          <w:color w:val="000000"/>
          <w:sz w:val="32"/>
          <w:szCs w:val="32"/>
          <w:rtl/>
        </w:rPr>
        <w:t>. والأمر كذلك في بيان شرائط الأحكام وموضوعاتها، كبيان حدّ الاستطاعة الوارد في قوله تعالى: </w:t>
      </w:r>
      <w:r w:rsidRPr="008711A0">
        <w:rPr>
          <w:rFonts w:ascii="Traditional Arabic" w:eastAsia="Times New Roman" w:hAnsi="Traditional Arabic" w:cs="Traditional Arabic"/>
          <w:b/>
          <w:bCs/>
          <w:color w:val="538135" w:themeColor="accent6" w:themeShade="BF"/>
          <w:sz w:val="32"/>
          <w:szCs w:val="32"/>
          <w:rtl/>
        </w:rPr>
        <w:t>﴿وَلِلَّهِ عَلَى ٱلنَّاسِ حِجُّ ٱل</w:t>
      </w:r>
      <w:r w:rsidRPr="008711A0">
        <w:rPr>
          <w:rFonts w:ascii="Traditional Arabic" w:eastAsia="Times New Roman" w:hAnsi="Traditional Arabic" w:cs="Traditional Arabic" w:hint="cs"/>
          <w:b/>
          <w:bCs/>
          <w:color w:val="538135" w:themeColor="accent6" w:themeShade="BF"/>
          <w:sz w:val="32"/>
          <w:szCs w:val="32"/>
          <w:rtl/>
        </w:rPr>
        <w:t>ۡبَيۡتِ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ٱسۡتَطَاعَ</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سَبِيلاۚ﴾</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50"/>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4. بيان شأن النزول وأسبابه</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لبيان شأن النزول -كمكان نزول الآية والحادثة التي نزلت فيها وزمانه- دورًا مهمًّا في فهم مدلول الآية؛ لذا اعتنى المفسّرون، منذ القدم، بالأحاديث</w:t>
      </w:r>
      <w:r w:rsidR="009C40F8">
        <w:rPr>
          <w:rStyle w:val="FootnoteReference"/>
          <w:rFonts w:ascii="Adobe Arabic" w:eastAsia="Times New Roman" w:hAnsi="Adobe Arabic" w:cs="Adobe Arabic"/>
          <w:color w:val="000000"/>
          <w:sz w:val="32"/>
          <w:szCs w:val="32"/>
          <w:rtl/>
        </w:rPr>
        <w:footnoteReference w:id="251"/>
      </w:r>
      <w:r w:rsidRPr="001609BB">
        <w:rPr>
          <w:rFonts w:ascii="Adobe Arabic" w:eastAsia="Times New Roman" w:hAnsi="Adobe Arabic" w:cs="Adobe Arabic"/>
          <w:color w:val="000000"/>
          <w:sz w:val="32"/>
          <w:szCs w:val="32"/>
          <w:rtl/>
        </w:rPr>
        <w:t> التي تبيّن ذلك. ويجدر بالذكر أنّ روايات شأن النزول ليست كلّها من السنّة بالمعنى الاصطلاحيّ، فبعضها رُوِيَ عن مفسِّري الصحابة والتابعين وغيرهم، وما كان منها كذلك لا يدخل في نطاق البحث عن الحجّيّة في التفسير؛ إذ لا عبرة في ذلك بغير كلام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وعترته، كما هو معلوم، وهي إذ ذاك إنّما تصلح كشواهد ومؤيّدات في البحث التفسيريّ في أحسن الأحوال.</w:t>
      </w:r>
    </w:p>
    <w:p w:rsidR="00BD4C4D" w:rsidRPr="008103F8" w:rsidRDefault="00BD4C4D" w:rsidP="009C40F8">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5. بيان بعض بواطن الآيات وتأوليها</w:t>
      </w:r>
      <w:r w:rsidR="009C40F8">
        <w:rPr>
          <w:rStyle w:val="FootnoteReference"/>
          <w:rFonts w:ascii="Adobe Arabic" w:eastAsia="Times New Roman" w:hAnsi="Adobe Arabic" w:cs="Adobe Arabic"/>
          <w:b/>
          <w:bCs/>
          <w:color w:val="000000"/>
          <w:sz w:val="32"/>
          <w:szCs w:val="32"/>
          <w:rtl/>
        </w:rPr>
        <w:footnoteReference w:id="252"/>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تصدّت بعض الروايات لبيان بواطن بعض الآيات وتأويلها. وقد لا يُعَدّ بيان الباطن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والتأويل من التفسير بالمعنى الاصطلاحيّ-سواء اعتمد الاتّجاه الذي يعرّف التفسير بما يشمل علوم اللغة وعلوم القرآن وغيرها</w:t>
      </w:r>
      <w:r w:rsidR="009C40F8">
        <w:rPr>
          <w:rStyle w:val="FootnoteReference"/>
          <w:rFonts w:ascii="Adobe Arabic" w:eastAsia="Times New Roman" w:hAnsi="Adobe Arabic" w:cs="Adobe Arabic"/>
          <w:color w:val="000000"/>
          <w:sz w:val="32"/>
          <w:szCs w:val="32"/>
          <w:rtl/>
        </w:rPr>
        <w:footnoteReference w:id="253"/>
      </w:r>
      <w:r w:rsidRPr="001609BB">
        <w:rPr>
          <w:rFonts w:ascii="Adobe Arabic" w:eastAsia="Times New Roman" w:hAnsi="Adobe Arabic" w:cs="Adobe Arabic"/>
          <w:color w:val="000000"/>
          <w:sz w:val="32"/>
          <w:szCs w:val="32"/>
          <w:rtl/>
        </w:rPr>
        <w:t>، التي يكون محورها القرآن الكريم، أو الاتّجاه الذي يخصّص التفسير بمعرفة مرادات الله تعالى الظاهريّة من الآيات-</w:t>
      </w:r>
      <w:r w:rsidR="009C40F8">
        <w:rPr>
          <w:rStyle w:val="FootnoteReference"/>
          <w:rFonts w:ascii="Adobe Arabic" w:eastAsia="Times New Roman" w:hAnsi="Adobe Arabic" w:cs="Adobe Arabic"/>
          <w:color w:val="000000"/>
          <w:sz w:val="32"/>
          <w:szCs w:val="32"/>
          <w:rtl/>
        </w:rPr>
        <w:footnoteReference w:id="254"/>
      </w:r>
      <w:r w:rsidRPr="001609BB">
        <w:rPr>
          <w:rFonts w:ascii="Adobe Arabic" w:eastAsia="Times New Roman" w:hAnsi="Adobe Arabic" w:cs="Adobe Arabic"/>
          <w:color w:val="000000"/>
          <w:sz w:val="32"/>
          <w:szCs w:val="32"/>
          <w:rtl/>
        </w:rPr>
        <w:t> إلّا أنّ ذلك لا يمنع الاستفادة من روايات التأويل في معرفة التفسير، فكثيرًا ما تكون روايات بيان أحد تأويلات الآية معتمدة على مناسبة بين المعنى الظاهريّ أو ظهر الكلام للآية، وتأويلها وبطنها، بحيث يكون المفهوم أو الصورة العامّة المنتزَعة من بطن الآية صالحةً للانطباق على ظهرها انطباقَ الكلّيِّ على مصاديقه</w:t>
      </w:r>
      <w:r w:rsidR="009C40F8">
        <w:rPr>
          <w:rStyle w:val="FootnoteReference"/>
          <w:rFonts w:ascii="Adobe Arabic" w:eastAsia="Times New Roman" w:hAnsi="Adobe Arabic" w:cs="Adobe Arabic"/>
          <w:color w:val="000000"/>
          <w:sz w:val="32"/>
          <w:szCs w:val="32"/>
          <w:rtl/>
        </w:rPr>
        <w:footnoteReference w:id="255"/>
      </w:r>
      <w:r w:rsidRPr="001609BB">
        <w:rPr>
          <w:rFonts w:ascii="Adobe Arabic" w:eastAsia="Times New Roman" w:hAnsi="Adobe Arabic" w:cs="Adobe Arabic"/>
          <w:color w:val="000000"/>
          <w:sz w:val="32"/>
          <w:szCs w:val="32"/>
          <w:rtl/>
        </w:rPr>
        <w:t>. مثال ذلك ما ورد عن الإمامَين الباقر والصادق </w:t>
      </w:r>
      <w:r w:rsidRPr="001609BB">
        <w:rPr>
          <w:rFonts w:ascii="Adobe Arabic" w:eastAsia="Times New Roman" w:hAnsi="Adobe Arabic" w:cs="Adobe Arabic"/>
          <w:color w:val="000000"/>
          <w:sz w:val="32"/>
          <w:szCs w:val="32"/>
        </w:rPr>
        <w:t>d</w:t>
      </w:r>
      <w:r w:rsidRPr="001609BB">
        <w:rPr>
          <w:rFonts w:ascii="Adobe Arabic" w:eastAsia="Times New Roman" w:hAnsi="Adobe Arabic" w:cs="Adobe Arabic"/>
          <w:color w:val="000000"/>
          <w:sz w:val="32"/>
          <w:szCs w:val="32"/>
          <w:rtl/>
        </w:rPr>
        <w:t>، في تأويل قوله تعالى:</w:t>
      </w:r>
      <w:r w:rsidRPr="008711A0">
        <w:rPr>
          <w:rFonts w:ascii="Traditional Arabic" w:eastAsia="Times New Roman" w:hAnsi="Traditional Arabic" w:cs="Traditional Arabic"/>
          <w:b/>
          <w:bCs/>
          <w:color w:val="538135" w:themeColor="accent6" w:themeShade="BF"/>
          <w:sz w:val="32"/>
          <w:szCs w:val="32"/>
          <w:rtl/>
        </w:rPr>
        <w:t> ﴿وَمَن</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فَكَأَنَّمَآ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جَمِيعاۚ﴾</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56"/>
      </w:r>
      <w:r w:rsidRPr="001609BB">
        <w:rPr>
          <w:rFonts w:ascii="Adobe Arabic" w:eastAsia="Times New Roman" w:hAnsi="Adobe Arabic" w:cs="Adobe Arabic"/>
          <w:color w:val="000000"/>
          <w:sz w:val="32"/>
          <w:szCs w:val="32"/>
          <w:rtl/>
        </w:rPr>
        <w:t>: «قولُ الله عزَّ وجلَّ في كتابه:</w:t>
      </w:r>
      <w:r w:rsidRPr="008711A0">
        <w:rPr>
          <w:rFonts w:ascii="Traditional Arabic" w:eastAsia="Times New Roman" w:hAnsi="Traditional Arabic" w:cs="Traditional Arabic"/>
          <w:b/>
          <w:bCs/>
          <w:color w:val="538135" w:themeColor="accent6" w:themeShade="BF"/>
          <w:sz w:val="32"/>
          <w:szCs w:val="32"/>
          <w:rtl/>
        </w:rPr>
        <w:t> ﴿وَمَن</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فَكَأَنَّمَآ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w:t>
      </w:r>
      <w:r w:rsidRPr="008711A0">
        <w:rPr>
          <w:rFonts w:ascii="Traditional Arabic" w:eastAsia="Times New Roman" w:hAnsi="Traditional Arabic" w:cs="Traditional Arabic"/>
          <w:b/>
          <w:bCs/>
          <w:color w:val="538135" w:themeColor="accent6" w:themeShade="BF"/>
          <w:sz w:val="32"/>
          <w:szCs w:val="32"/>
          <w:rtl/>
        </w:rPr>
        <w:t xml:space="preserve"> </w:t>
      </w:r>
      <w:r w:rsid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w:t>
      </w:r>
      <w:r w:rsidRPr="001609BB">
        <w:rPr>
          <w:rFonts w:ascii="Adobe Arabic" w:eastAsia="Times New Roman" w:hAnsi="Adobe Arabic" w:cs="Adobe Arabic"/>
          <w:color w:val="000000"/>
          <w:sz w:val="32"/>
          <w:szCs w:val="32"/>
          <w:rtl/>
        </w:rPr>
        <w:t>، قال: مِن حَرَقٍ أو غَرَقٍ. قلت: فمن أخرجها من ضلال إلى هدى؟ قال: ذاك تأويلها الأعظم»</w:t>
      </w:r>
      <w:r w:rsidR="009C40F8">
        <w:rPr>
          <w:rStyle w:val="FootnoteReference"/>
          <w:rFonts w:ascii="Adobe Arabic" w:eastAsia="Times New Roman" w:hAnsi="Adobe Arabic" w:cs="Adobe Arabic"/>
          <w:color w:val="000000"/>
          <w:sz w:val="32"/>
          <w:szCs w:val="32"/>
          <w:rtl/>
        </w:rPr>
        <w:footnoteReference w:id="257"/>
      </w:r>
      <w:r w:rsidRPr="001609BB">
        <w:rPr>
          <w:rFonts w:ascii="Adobe Arabic" w:eastAsia="Times New Roman" w:hAnsi="Adobe Arabic" w:cs="Adobe Arabic"/>
          <w:color w:val="000000"/>
          <w:sz w:val="32"/>
          <w:szCs w:val="32"/>
          <w:rtl/>
        </w:rPr>
        <w:t>.</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ومثله: «قُلْتُ أَخْبِرْنِي عَنْ قَوْلِ اللَّهِ عزَّ وجلَّ: </w:t>
      </w:r>
      <w:r w:rsidRPr="008711A0">
        <w:rPr>
          <w:rFonts w:ascii="Traditional Arabic" w:eastAsia="Times New Roman" w:hAnsi="Traditional Arabic" w:cs="Traditional Arabic"/>
          <w:b/>
          <w:bCs/>
          <w:color w:val="538135" w:themeColor="accent6" w:themeShade="BF"/>
          <w:sz w:val="32"/>
          <w:szCs w:val="32"/>
          <w:rtl/>
        </w:rPr>
        <w:t>﴿وَمَن</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فَكَأَنَّمَآ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جَمِيعاۚ﴾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قَالَ</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مِنْ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حَرَقٍ</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أَوْ</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غَرَقٍ</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ثُمَّ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سَكَتَ، ثُمَّ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قَالَ</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تَأْوِيلُهَا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الْأَعْظَمُ</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دَعَاهَا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فَاسْتَجَابَتْ</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لَهُ»</w:t>
      </w:r>
      <w:r w:rsidR="009C40F8">
        <w:rPr>
          <w:rStyle w:val="FootnoteReference"/>
          <w:rFonts w:ascii="Adobe Arabic" w:eastAsia="Times New Roman" w:hAnsi="Adobe Arabic" w:cs="Adobe Arabic"/>
          <w:color w:val="000000"/>
          <w:sz w:val="32"/>
          <w:szCs w:val="32"/>
          <w:rtl/>
        </w:rPr>
        <w:footnoteReference w:id="258"/>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والروايتان ها هنا قد بيَّنَتا أنّ التفسير الظاهريّ للآية هو أحد مصاديق كبرى كلّيّة تشمله ومصاديقَ أُخَر للإحياء.</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وأحيانًا أخرى، يكون تحقُّق التأويل الوارد في الروايات في حقيقة عينيّة خارجيّة، وليست برجوع معنى إلى آخر، كما في المثال السابق. وذلك كما في مصاديق قوله تعالى: </w:t>
      </w:r>
      <w:r w:rsidRPr="008711A0">
        <w:rPr>
          <w:rFonts w:ascii="Traditional Arabic" w:eastAsia="Times New Roman" w:hAnsi="Traditional Arabic" w:cs="Traditional Arabic"/>
          <w:b/>
          <w:bCs/>
          <w:color w:val="538135" w:themeColor="accent6" w:themeShade="BF"/>
          <w:sz w:val="32"/>
          <w:szCs w:val="32"/>
          <w:rtl/>
        </w:rPr>
        <w:t>﴿هَل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يَنظُرُونَ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يَوۡمَ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يَأۡتِي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يَقُولُ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نَسُوهُ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قَبۡلُ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جَا</w:t>
      </w:r>
      <w:r w:rsidRPr="008711A0">
        <w:rPr>
          <w:rFonts w:ascii="Traditional Arabic" w:eastAsia="Times New Roman" w:hAnsi="Traditional Arabic" w:cs="Traditional Arabic"/>
          <w:b/>
          <w:bCs/>
          <w:color w:val="538135" w:themeColor="accent6" w:themeShade="BF"/>
          <w:sz w:val="32"/>
          <w:szCs w:val="32"/>
          <w:rtl/>
        </w:rPr>
        <w:t>ٓءَت</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رُسُلُ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رَبِّنَا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بِٱلۡحَقِّ</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فَهَل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شُفَعَآءَ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فَيَشۡفَعُواْ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نُرَدُّ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فَنَعۡمَلَ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نَعۡمَلُۚ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خَسِرُوٓاْ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أَنفُسَهُمۡ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وَضَلَّ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كَانُواْ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يَفۡتَرُونَ﴾</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59"/>
      </w:r>
      <w:r w:rsidRPr="001609BB">
        <w:rPr>
          <w:rFonts w:ascii="Adobe Arabic" w:eastAsia="Times New Roman" w:hAnsi="Adobe Arabic" w:cs="Adobe Arabic"/>
          <w:color w:val="000000"/>
          <w:sz w:val="32"/>
          <w:szCs w:val="32"/>
          <w:rtl/>
        </w:rPr>
        <w:t>. فقد ورد عن الإمام الباقر في تأويل قوله تعالى: </w:t>
      </w:r>
      <w:r w:rsidRPr="008711A0">
        <w:rPr>
          <w:rFonts w:ascii="Traditional Arabic" w:eastAsia="Times New Roman" w:hAnsi="Traditional Arabic" w:cs="Traditional Arabic"/>
          <w:b/>
          <w:bCs/>
          <w:color w:val="538135" w:themeColor="accent6" w:themeShade="BF"/>
          <w:sz w:val="32"/>
          <w:szCs w:val="32"/>
          <w:rtl/>
        </w:rPr>
        <w:t>﴿قُل</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أَرَءَيۡتُمۡ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أَصۡبَحَ</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مَآؤُكُمۡ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غَوۡرا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w:t>
      </w:r>
      <w:r w:rsidRPr="008711A0">
        <w:rPr>
          <w:rFonts w:ascii="Traditional Arabic" w:eastAsia="Times New Roman" w:hAnsi="Traditional Arabic" w:cs="Traditional Arabic"/>
          <w:b/>
          <w:bCs/>
          <w:color w:val="538135" w:themeColor="accent6" w:themeShade="BF"/>
          <w:sz w:val="32"/>
          <w:szCs w:val="32"/>
          <w:rtl/>
        </w:rPr>
        <w:t>َأ</w:t>
      </w:r>
      <w:r w:rsidRPr="008711A0">
        <w:rPr>
          <w:rFonts w:ascii="Traditional Arabic" w:eastAsia="Times New Roman" w:hAnsi="Traditional Arabic" w:cs="Traditional Arabic" w:hint="cs"/>
          <w:b/>
          <w:bCs/>
          <w:color w:val="538135" w:themeColor="accent6" w:themeShade="BF"/>
          <w:sz w:val="32"/>
          <w:szCs w:val="32"/>
          <w:rtl/>
        </w:rPr>
        <w:t>ۡتِيكُم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بِمَآء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مَّعِينِۢ﴾</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60"/>
      </w:r>
      <w:r w:rsidRPr="001609BB">
        <w:rPr>
          <w:rFonts w:ascii="Adobe Arabic" w:eastAsia="Times New Roman" w:hAnsi="Adobe Arabic" w:cs="Adobe Arabic"/>
          <w:color w:val="000000"/>
          <w:sz w:val="32"/>
          <w:szCs w:val="32"/>
          <w:rtl/>
        </w:rPr>
        <w:t> ما يلي: "قال: هذه نزلت في القائم، يقول: إنْ أصبح إمامُكم غائبًا عنكم، لا تدرون أين هو، فمن يأتيكم بإمام ظاهر، يأتيكم بأخبار السماء والأرض وحلال الله عزَّ وجلَّ وحرامه؟ ثم قال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والله، ما جاء تأويل هذه الآية، ولا بدّ أن يجيء تأويلُها"</w:t>
      </w:r>
      <w:r w:rsidR="009C40F8">
        <w:rPr>
          <w:rStyle w:val="FootnoteReference"/>
          <w:rFonts w:ascii="Adobe Arabic" w:eastAsia="Times New Roman" w:hAnsi="Adobe Arabic" w:cs="Adobe Arabic"/>
          <w:color w:val="000000"/>
          <w:sz w:val="32"/>
          <w:szCs w:val="32"/>
          <w:rtl/>
        </w:rPr>
        <w:footnoteReference w:id="261"/>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وينبغي التنبيه أنّ الخوض في التأويل، من دون الرجوع إلى المعصوم، يُخرِج دلالات النصّ القرآنيّ عن الضبط، ويفتح مجالًا لإسقاط الرؤى والأحكام على القرآن الكريم، فيما المفروض استخراجها منه، فيغدو الكتاب تابعًا بدل أن يكون متبوعًا، وقد مرّ شطرٌ من الكلام عن ذلك في بحث المحكم والمتشابه.</w:t>
      </w: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0D4298"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52" w:name="_Toc155869548"/>
      <w:r w:rsidRPr="000D4298">
        <w:rPr>
          <w:rFonts w:ascii="Adobe Arabic" w:eastAsia="Times New Roman" w:hAnsi="Adobe Arabic" w:cs="Adobe Arabic"/>
          <w:b/>
          <w:bCs/>
          <w:color w:val="538135" w:themeColor="accent6" w:themeShade="BF"/>
          <w:sz w:val="40"/>
          <w:szCs w:val="40"/>
          <w:rtl/>
        </w:rPr>
        <w:lastRenderedPageBreak/>
        <w:t>ملحق 1</w:t>
      </w:r>
      <w:r w:rsidR="000D4298">
        <w:rPr>
          <w:rFonts w:ascii="Adobe Arabic" w:eastAsia="Times New Roman" w:hAnsi="Adobe Arabic" w:cs="Adobe Arabic" w:hint="cs"/>
          <w:b/>
          <w:bCs/>
          <w:color w:val="538135" w:themeColor="accent6" w:themeShade="BF"/>
          <w:sz w:val="40"/>
          <w:szCs w:val="40"/>
          <w:rtl/>
        </w:rPr>
        <w:t xml:space="preserve">: </w:t>
      </w:r>
      <w:r w:rsidRPr="000D4298">
        <w:rPr>
          <w:rFonts w:ascii="Adobe Arabic" w:eastAsia="Times New Roman" w:hAnsi="Adobe Arabic" w:cs="Adobe Arabic"/>
          <w:b/>
          <w:bCs/>
          <w:color w:val="538135" w:themeColor="accent6" w:themeShade="BF"/>
          <w:sz w:val="40"/>
          <w:szCs w:val="40"/>
          <w:rtl/>
        </w:rPr>
        <w:t>رؤية العلَّامة الطباطبائيّ</w:t>
      </w:r>
      <w:r w:rsidR="001609BB" w:rsidRPr="000D4298">
        <w:rPr>
          <w:rFonts w:ascii="Adobe Arabic" w:eastAsia="Times New Roman" w:hAnsi="Adobe Arabic" w:cs="Adobe Arabic"/>
          <w:b/>
          <w:bCs/>
          <w:color w:val="538135" w:themeColor="accent6" w:themeShade="BF"/>
          <w:sz w:val="40"/>
          <w:szCs w:val="40"/>
          <w:rtl/>
        </w:rPr>
        <w:t>(قدس سره)</w:t>
      </w:r>
      <w:r w:rsidRPr="000D4298">
        <w:rPr>
          <w:rFonts w:ascii="Adobe Arabic" w:eastAsia="Times New Roman" w:hAnsi="Adobe Arabic" w:cs="Adobe Arabic"/>
          <w:b/>
          <w:bCs/>
          <w:color w:val="538135" w:themeColor="accent6" w:themeShade="BF"/>
          <w:sz w:val="40"/>
          <w:szCs w:val="40"/>
          <w:rtl/>
        </w:rPr>
        <w:t> للعلاقة بين القرآن والسنّة(1)</w:t>
      </w:r>
      <w:bookmarkEnd w:id="52"/>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1. يتعرّف رأي العلامة الطباطبائي في تفسير القرآن بالقرآن.</w:t>
      </w:r>
      <w:r w:rsidR="009C40F8">
        <w:rPr>
          <w:rStyle w:val="FootnoteReference"/>
          <w:rFonts w:ascii="Adobe Arabic" w:eastAsia="Times New Roman" w:hAnsi="Adobe Arabic" w:cs="Adobe Arabic"/>
          <w:color w:val="000000"/>
          <w:sz w:val="32"/>
          <w:szCs w:val="32"/>
          <w:rtl/>
        </w:rPr>
        <w:footnoteReference w:id="262"/>
      </w:r>
      <w:r w:rsidR="009C40F8" w:rsidRPr="001609BB">
        <w:rPr>
          <w:rFonts w:ascii="Adobe Arabic" w:eastAsia="Times New Roman" w:hAnsi="Adobe Arabic" w:cs="Adobe Arabic"/>
          <w:color w:val="000000"/>
          <w:sz w:val="32"/>
          <w:szCs w:val="32"/>
          <w:rtl/>
        </w:rPr>
        <w:t xml:space="preserve"> </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2. يعدّد النظريات الثلاث في دور الروايات في تفسير القرآن.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3. يحدّد رأي العلامة الطباطبائي في دور السنّة في تفسير القرآن.</w:t>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br w:type="page"/>
      </w:r>
    </w:p>
    <w:p w:rsidR="00037E6F" w:rsidRDefault="00037E6F">
      <w:pPr>
        <w:rPr>
          <w:rFonts w:ascii="Adobe Arabic" w:eastAsia="Times New Roman" w:hAnsi="Adobe Arabic" w:cs="Adobe Arabic"/>
          <w:b/>
          <w:bCs/>
          <w:color w:val="996633"/>
          <w:sz w:val="36"/>
          <w:szCs w:val="36"/>
          <w:rtl/>
        </w:rPr>
      </w:pPr>
      <w:r>
        <w:rPr>
          <w:rFonts w:ascii="Adobe Arabic" w:eastAsia="Times New Roman" w:hAnsi="Adobe Arabic" w:cs="Adobe Arabic"/>
          <w:b/>
          <w:bCs/>
          <w:color w:val="996633"/>
          <w:sz w:val="36"/>
          <w:szCs w:val="36"/>
          <w:rtl/>
        </w:rPr>
        <w:lastRenderedPageBreak/>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3" w:name="_Toc155869549"/>
      <w:r w:rsidRPr="00465CD4">
        <w:rPr>
          <w:rFonts w:ascii="Adobe Arabic" w:eastAsia="Times New Roman" w:hAnsi="Adobe Arabic" w:cs="Adobe Arabic"/>
          <w:b/>
          <w:bCs/>
          <w:color w:val="996633"/>
          <w:sz w:val="36"/>
          <w:szCs w:val="36"/>
          <w:rtl/>
        </w:rPr>
        <w:lastRenderedPageBreak/>
        <w:t>تمهيد</w:t>
      </w:r>
      <w:bookmarkEnd w:id="53"/>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يُعَدُّ العلَّامة الطباطبائيّ من أبرز العلماء الذين شدّدوا على محوريّة القرآن وأهمِّيّته في تفسير نفسه، عبر اتّباعه لمنهج «تفسير القرآن بالقرآن». إلّا أّنه مع ذلك، لم يترك البحث الروائيّ ويسقطه عن الاعتبار؛ ذلك أنّ من يُراجع تراثه، يرى، وبكلّ وضوح، اهتمامه بالبحث الروائيّ؛ غايته أنّه يُشدّد على كون القرآن الكريم هو المحور والأصل في تفسير نفسه، وفي فهم المعارف الدينيّة.</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4" w:name="_Toc155869550"/>
      <w:r w:rsidRPr="00465CD4">
        <w:rPr>
          <w:rFonts w:ascii="Adobe Arabic" w:eastAsia="Times New Roman" w:hAnsi="Adobe Arabic" w:cs="Adobe Arabic"/>
          <w:b/>
          <w:bCs/>
          <w:color w:val="996633"/>
          <w:sz w:val="36"/>
          <w:szCs w:val="36"/>
          <w:rtl/>
        </w:rPr>
        <w:t>العلَّامة الطباطبائيّ</w:t>
      </w:r>
      <w:r w:rsidR="001609BB" w:rsidRPr="00465CD4">
        <w:rPr>
          <w:rFonts w:ascii="Adobe Arabic" w:eastAsia="Times New Roman" w:hAnsi="Adobe Arabic" w:cs="Adobe Arabic"/>
          <w:b/>
          <w:bCs/>
          <w:color w:val="996633"/>
          <w:sz w:val="36"/>
          <w:szCs w:val="36"/>
          <w:rtl/>
        </w:rPr>
        <w:t>(قدس سره)</w:t>
      </w:r>
      <w:r w:rsidRPr="00465CD4">
        <w:rPr>
          <w:rFonts w:ascii="Adobe Arabic" w:eastAsia="Times New Roman" w:hAnsi="Adobe Arabic" w:cs="Adobe Arabic"/>
          <w:b/>
          <w:bCs/>
          <w:color w:val="996633"/>
          <w:sz w:val="36"/>
          <w:szCs w:val="36"/>
          <w:rtl/>
        </w:rPr>
        <w:t> وتفسير القرآن بالقرآن</w:t>
      </w:r>
      <w:bookmarkEnd w:id="54"/>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يعتمد العلَّامة الطباطبائيّ منهج تفسير القرآن بالقرآن</w:t>
      </w:r>
      <w:r w:rsidR="009C40F8">
        <w:rPr>
          <w:rStyle w:val="FootnoteReference"/>
          <w:rFonts w:ascii="Adobe Arabic" w:eastAsia="Times New Roman" w:hAnsi="Adobe Arabic" w:cs="Adobe Arabic"/>
          <w:color w:val="000000"/>
          <w:sz w:val="32"/>
          <w:szCs w:val="32"/>
          <w:rtl/>
        </w:rPr>
        <w:footnoteReference w:id="263"/>
      </w:r>
      <w:r w:rsidRPr="001609BB">
        <w:rPr>
          <w:rFonts w:ascii="Adobe Arabic" w:eastAsia="Times New Roman" w:hAnsi="Adobe Arabic" w:cs="Adobe Arabic"/>
          <w:color w:val="000000"/>
          <w:sz w:val="32"/>
          <w:szCs w:val="32"/>
          <w:rtl/>
        </w:rPr>
        <w:t>. والمراد بهذا المنهج هو: أن تكون النصوص القرآنيّة بعضُها مفسِّرًا لبعض. وإذا ما عرفنا أنّ التفسير هو الكشف عن معاني النصّ القرآنيّ ومراداته، فإنّه في ضوء هذا المنهج، يكون النصّ القرآنيّ المرادُ كشف معانيه، مُنكشِفًا ومُفسِّرًا -بصيغة اسم المفعول- بنصٍّ قرآنيّ آخر. ويرى المعتقدون بهذا المنهج أنّه المنهج الأكمل والأتمّ الذي ينبغي أن يُسلَك في تفسير القرآن.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ولقد أكّد العلَّامة الطباطبائيّ على اعتماده هذا المنهج، في أكثر من مورد من كلامه، منها:</w:t>
      </w:r>
    </w:p>
    <w:p w:rsidR="00932FF5"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xml:space="preserve">المورد الأول: في مقدّمة تفسير الميزان، بعد أن استعرض بعض المناهج التي سلكها المفسِّرون، وقدَّم النقد لها، نجده يبيّن أنّ فهم حقائق القرآن وتشخيص مقاصده العالية يتمّ على أحد وجهَين: «أحدهما: أن نبحث بحثاً علميّاً أو فلسفيّاً أو غير ذلك،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عن مسألة من المسائل التي تتعرَّض لها الآية، حتّى نقف على الحقّ في المسألة، ثمّ نأتي بالآية ونحملها عليه، وهذه طريقة يرتضيها البحث النظريّ، غير أنّ القرآن لا يرتضيها. وثانيهما: أن نفسِّر القرآن بالقرآن، ونستوضح معنى الآية من نظيرتها، بالتدبُّر المندوب إليه في نفس القرآن، ونشخّص المصاديق ونتعرّفها بالخواصّ التي تعطيها الآيات، كما قال تعالى: </w:t>
      </w:r>
      <w:r w:rsidRPr="008711A0">
        <w:rPr>
          <w:rFonts w:ascii="Traditional Arabic" w:eastAsia="Times New Roman" w:hAnsi="Traditional Arabic" w:cs="Traditional Arabic"/>
          <w:b/>
          <w:bCs/>
          <w:color w:val="538135" w:themeColor="accent6" w:themeShade="BF"/>
          <w:sz w:val="32"/>
          <w:szCs w:val="32"/>
          <w:rtl/>
        </w:rPr>
        <w:t>﴿وَنَزَّل</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عَلَيۡكَ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تِبۡيَٰنا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لِّكُلِّ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شَيۡء﴾</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64"/>
      </w:r>
      <w:r w:rsidRPr="001609BB">
        <w:rPr>
          <w:rFonts w:ascii="Adobe Arabic" w:eastAsia="Times New Roman" w:hAnsi="Adobe Arabic" w:cs="Adobe Arabic"/>
          <w:color w:val="000000"/>
          <w:sz w:val="32"/>
          <w:szCs w:val="32"/>
          <w:rtl/>
        </w:rPr>
        <w:t> الآية، وحاشا أن يكون القرآن تبياناً لكلّ شيء ولا يكون تبياناً لنفسه. وقال تعالى: </w:t>
      </w:r>
      <w:r w:rsidRPr="008711A0">
        <w:rPr>
          <w:rFonts w:ascii="Traditional Arabic" w:eastAsia="Times New Roman" w:hAnsi="Traditional Arabic" w:cs="Traditional Arabic"/>
          <w:b/>
          <w:bCs/>
          <w:color w:val="538135" w:themeColor="accent6" w:themeShade="BF"/>
          <w:sz w:val="32"/>
          <w:szCs w:val="32"/>
          <w:rtl/>
        </w:rPr>
        <w:t>﴿هُدى لِّلنَّاسِ وَبَيِّنَٰت مِّنَ ٱل</w:t>
      </w:r>
      <w:r w:rsidRPr="008711A0">
        <w:rPr>
          <w:rFonts w:ascii="Traditional Arabic" w:eastAsia="Times New Roman" w:hAnsi="Traditional Arabic" w:cs="Traditional Arabic" w:hint="cs"/>
          <w:b/>
          <w:bCs/>
          <w:color w:val="538135" w:themeColor="accent6" w:themeShade="BF"/>
          <w:sz w:val="32"/>
          <w:szCs w:val="32"/>
          <w:rtl/>
        </w:rPr>
        <w:t>ۡهُدَىٰ</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وَٱلۡفُرۡقَانِۚ﴾</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65"/>
      </w:r>
      <w:r w:rsidRPr="001609BB">
        <w:rPr>
          <w:rFonts w:ascii="Adobe Arabic" w:eastAsia="Times New Roman" w:hAnsi="Adobe Arabic" w:cs="Adobe Arabic"/>
          <w:color w:val="000000"/>
          <w:sz w:val="32"/>
          <w:szCs w:val="32"/>
          <w:rtl/>
        </w:rPr>
        <w:t> الآية، وقال تعالى: </w:t>
      </w:r>
      <w:r w:rsidRPr="008711A0">
        <w:rPr>
          <w:rFonts w:ascii="Traditional Arabic" w:eastAsia="Times New Roman" w:hAnsi="Traditional Arabic" w:cs="Traditional Arabic"/>
          <w:b/>
          <w:bCs/>
          <w:color w:val="538135" w:themeColor="accent6" w:themeShade="BF"/>
          <w:sz w:val="32"/>
          <w:szCs w:val="32"/>
          <w:rtl/>
        </w:rPr>
        <w:t>﴿</w:t>
      </w:r>
      <w:r w:rsidRPr="008711A0">
        <w:rPr>
          <w:rFonts w:ascii="Traditional Arabic" w:eastAsia="Times New Roman" w:hAnsi="Traditional Arabic" w:cs="Traditional Arabic"/>
          <w:b/>
          <w:bCs/>
          <w:noProof/>
          <w:color w:val="538135" w:themeColor="accent6" w:themeShade="BF"/>
          <w:sz w:val="32"/>
          <w:szCs w:val="32"/>
        </w:rPr>
        <mc:AlternateContent>
          <mc:Choice Requires="wps">
            <w:drawing>
              <wp:inline distT="0" distB="0" distL="0" distR="0">
                <wp:extent cx="304800" cy="304800"/>
                <wp:effectExtent l="0" t="0" r="0" b="0"/>
                <wp:docPr id="12" name="Rectangle 12" descr="C:\Users\user6\Downloads\Telegram Desktop\%D9%83%D8%AA%D8%A8 %D8%AC%D8%AF%D9%8A%D8%AF%D8%A9\dourous_fi_al_3alaka_ben_lkor2an_wal_sonna-web-resources\image\2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B6FA7E"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Jyv+M0pAwAAYwYAAA4A&#10;AAAAAAAAAAAAAAAALgIAAGRycy9lMm9Eb2MueG1sUEsBAi0AFAAGAAgAAAAhAEyg6SzYAAAAAwEA&#10;AA8AAAAAAAAAAAAAAAAAgwUAAGRycy9kb3ducmV2LnhtbFBLBQYAAAAABAAEAPMAAACIBgAAAAA=&#10;" filled="f" stroked="f">
                <o:lock v:ext="edit" aspectratio="t"/>
                <w10:anchorlock/>
              </v:rect>
            </w:pict>
          </mc:Fallback>
        </mc:AlternateContent>
      </w:r>
      <w:r w:rsidRPr="008711A0">
        <w:rPr>
          <w:rFonts w:ascii="Traditional Arabic" w:eastAsia="Times New Roman" w:hAnsi="Traditional Arabic" w:cs="Traditional Arabic"/>
          <w:b/>
          <w:bCs/>
          <w:color w:val="538135" w:themeColor="accent6" w:themeShade="BF"/>
          <w:sz w:val="32"/>
          <w:szCs w:val="32"/>
          <w:rtl/>
        </w:rPr>
        <w:t> إِلَي</w:t>
      </w:r>
      <w:r w:rsidRPr="008711A0">
        <w:rPr>
          <w:rFonts w:ascii="Traditional Arabic" w:eastAsia="Times New Roman" w:hAnsi="Traditional Arabic" w:cs="Traditional Arabic" w:hint="cs"/>
          <w:b/>
          <w:bCs/>
          <w:color w:val="538135" w:themeColor="accent6" w:themeShade="BF"/>
          <w:sz w:val="32"/>
          <w:szCs w:val="32"/>
          <w:rtl/>
        </w:rPr>
        <w:t>ۡكُمۡ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نُورا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مُّبِينا﴾</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66"/>
      </w:r>
      <w:r w:rsidRPr="001609BB">
        <w:rPr>
          <w:rFonts w:ascii="Adobe Arabic" w:eastAsia="Times New Roman" w:hAnsi="Adobe Arabic" w:cs="Adobe Arabic"/>
          <w:color w:val="000000"/>
          <w:sz w:val="32"/>
          <w:szCs w:val="32"/>
          <w:rtl/>
        </w:rPr>
        <w:t> الآية، وكيف يكون القرآن هدىً وبيّنةً وفرقانًا ونورًا مبيّنًا للناس في جميع ما يحتاجون، ولا يكفيهم في احتياجهم إليه، وهو أشدّ الاحتياج؟! وقال تعالى: </w:t>
      </w:r>
      <w:r w:rsidRPr="008711A0">
        <w:rPr>
          <w:rFonts w:ascii="Traditional Arabic" w:eastAsia="Times New Roman" w:hAnsi="Traditional Arabic" w:cs="Traditional Arabic"/>
          <w:b/>
          <w:bCs/>
          <w:color w:val="538135" w:themeColor="accent6" w:themeShade="BF"/>
          <w:sz w:val="32"/>
          <w:szCs w:val="32"/>
          <w:rtl/>
        </w:rPr>
        <w:t>﴿وَٱلَّذِينَ جَٰهَدُواْ فِينَا لَنَه</w:t>
      </w:r>
      <w:r w:rsidRPr="008711A0">
        <w:rPr>
          <w:rFonts w:ascii="Traditional Arabic" w:eastAsia="Times New Roman" w:hAnsi="Traditional Arabic" w:cs="Traditional Arabic" w:hint="cs"/>
          <w:b/>
          <w:bCs/>
          <w:color w:val="538135" w:themeColor="accent6" w:themeShade="BF"/>
          <w:sz w:val="32"/>
          <w:szCs w:val="32"/>
          <w:rtl/>
        </w:rPr>
        <w:t>ۡدِيَنَّهُمۡ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سُبُلَنَاۚ﴾</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67"/>
      </w:r>
      <w:r w:rsidRPr="001609BB">
        <w:rPr>
          <w:rFonts w:ascii="Adobe Arabic" w:eastAsia="Times New Roman" w:hAnsi="Adobe Arabic" w:cs="Adobe Arabic"/>
          <w:color w:val="000000"/>
          <w:sz w:val="32"/>
          <w:szCs w:val="32"/>
          <w:rtl/>
        </w:rPr>
        <w:t> الآية، وأيّ جهاد أعظم من بذل الجهد في فهم كتابه! وأيّ سبيل أهدى إليه من القرآن!»</w:t>
      </w:r>
      <w:r w:rsidR="009C40F8">
        <w:rPr>
          <w:rStyle w:val="FootnoteReference"/>
          <w:rFonts w:ascii="Adobe Arabic" w:eastAsia="Times New Roman" w:hAnsi="Adobe Arabic" w:cs="Adobe Arabic"/>
          <w:color w:val="000000"/>
          <w:sz w:val="32"/>
          <w:szCs w:val="32"/>
          <w:rtl/>
        </w:rPr>
        <w:footnoteReference w:id="268"/>
      </w:r>
      <w:r w:rsidRPr="001609BB">
        <w:rPr>
          <w:rFonts w:ascii="Adobe Arabic" w:eastAsia="Times New Roman" w:hAnsi="Adobe Arabic" w:cs="Adobe Arabic"/>
          <w:color w:val="000000"/>
          <w:sz w:val="32"/>
          <w:szCs w:val="32"/>
          <w:rtl/>
        </w:rPr>
        <w:t>. </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المورد الثاني: في تفسيره لقوله تعالى: </w:t>
      </w:r>
      <w:r w:rsidRPr="008711A0">
        <w:rPr>
          <w:rFonts w:ascii="Traditional Arabic" w:eastAsia="Times New Roman" w:hAnsi="Traditional Arabic" w:cs="Traditional Arabic"/>
          <w:b/>
          <w:bCs/>
          <w:color w:val="538135" w:themeColor="accent6" w:themeShade="BF"/>
          <w:sz w:val="32"/>
          <w:szCs w:val="32"/>
          <w:rtl/>
        </w:rPr>
        <w:t>﴿هُوَ ٱلَّذِيٓ أَنزَلَ عَلَي</w:t>
      </w:r>
      <w:r w:rsidRPr="008711A0">
        <w:rPr>
          <w:rFonts w:ascii="Traditional Arabic" w:eastAsia="Times New Roman" w:hAnsi="Traditional Arabic" w:cs="Traditional Arabic" w:hint="cs"/>
          <w:b/>
          <w:bCs/>
          <w:color w:val="538135" w:themeColor="accent6" w:themeShade="BF"/>
          <w:sz w:val="32"/>
          <w:szCs w:val="32"/>
          <w:rtl/>
        </w:rPr>
        <w:t>ۡكَ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مُّحۡكَمَٰتٌ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هُنَّ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وَأُخَر</w:t>
      </w:r>
      <w:r w:rsidRPr="008711A0">
        <w:rPr>
          <w:rFonts w:ascii="Traditional Arabic" w:eastAsia="Times New Roman" w:hAnsi="Traditional Arabic" w:cs="Traditional Arabic"/>
          <w:b/>
          <w:bCs/>
          <w:color w:val="538135" w:themeColor="accent6" w:themeShade="BF"/>
          <w:sz w:val="32"/>
          <w:szCs w:val="32"/>
          <w:rtl/>
        </w:rPr>
        <w:t>ُ مُتَشَٰبِهَٰت</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فَأَمَّا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قُلُوبِهِمۡ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زَيۡغ</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فَيَتَّبِعُونَ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تَشَٰبَهَ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ٱبۡتِغَآءَ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ٱلۡفِتۡنَةِ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وَٱبۡتِغَآءَ</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تَأۡوِيلَهُۥٓ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وَٱلرَّٰسِخُونَ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يَقُولُونَ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ءَامَنَّا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كُلّ</w:t>
      </w:r>
      <w:r w:rsidRPr="008711A0">
        <w:rPr>
          <w:rFonts w:ascii="Traditional Arabic" w:eastAsia="Times New Roman" w:hAnsi="Traditional Arabic" w:cs="Traditional Arabic"/>
          <w:b/>
          <w:bCs/>
          <w:color w:val="538135" w:themeColor="accent6" w:themeShade="BF"/>
          <w:sz w:val="32"/>
          <w:szCs w:val="32"/>
          <w:rtl/>
        </w:rPr>
        <w:t xml:space="preserve"> مِّن</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رَبِّنَاۗ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أُوْلُواْ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ٱلۡأَلۡبَٰبِ﴾</w:t>
      </w:r>
      <w:r w:rsidR="009C40F8">
        <w:rPr>
          <w:rStyle w:val="FootnoteReference"/>
          <w:rFonts w:ascii="Traditional Arabic" w:eastAsia="Times New Roman" w:hAnsi="Traditional Arabic" w:cs="Traditional Arabic"/>
          <w:b/>
          <w:bCs/>
          <w:color w:val="538135" w:themeColor="accent6" w:themeShade="BF"/>
          <w:sz w:val="32"/>
          <w:szCs w:val="32"/>
          <w:rtl/>
        </w:rPr>
        <w:footnoteReference w:id="269"/>
      </w:r>
      <w:r w:rsidRPr="001609BB">
        <w:rPr>
          <w:rFonts w:ascii="Adobe Arabic" w:eastAsia="Times New Roman" w:hAnsi="Adobe Arabic" w:cs="Adobe Arabic"/>
          <w:color w:val="000000"/>
          <w:sz w:val="32"/>
          <w:szCs w:val="32"/>
          <w:rtl/>
        </w:rPr>
        <w:t>، حيث يقول في ختام بحث في تفسير هذه الآية: «والمحصّل: أنّ المنهيّ عنه إنّما هو الاستقلال في تفسير القرآن، واعتماد المفسِّر على نفسه، من غير رجوع إلى غيره، ولازمه وجوب الاستمداد من الغير بالرجوع إليه، وهذا الغير لا محالة إمّا هو الكتاب أو السنّة، وكونه هو السنّة ينافي القرآن والسنّة نفسها الآمرة بالرجوع إليه وعرض الأخبار عليه، فلا يبقى للرجوع إليه والاستمداد منه في تفسير القرآن إلّا القرآن نفسه»</w:t>
      </w:r>
      <w:r w:rsidR="009C40F8">
        <w:rPr>
          <w:rStyle w:val="FootnoteReference"/>
          <w:rFonts w:ascii="Adobe Arabic" w:eastAsia="Times New Roman" w:hAnsi="Adobe Arabic" w:cs="Adobe Arabic"/>
          <w:color w:val="000000"/>
          <w:sz w:val="32"/>
          <w:szCs w:val="32"/>
          <w:rtl/>
        </w:rPr>
        <w:footnoteReference w:id="270"/>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ويؤكّد العلَّامة الطباطبائيّ أنّه استفاد هذا المنهج من السنّة المتمثّلة في النبيّ الأكرم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وأهل بيته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فهم الذين أرشدونا إليه، حيث قال: «ثمّ إنّ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الذي علّمه القرآن وجعله معلِّماً لكتابه... وعترته وأهل بيته الذين أقامهم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هذا المقام... وقد كانت طريقتهم في التعليم والتفسير هذه الطريقة بعينها، على ما وصل إلينا من أخبارهم في التفسير»</w:t>
      </w:r>
      <w:r w:rsidR="009C40F8">
        <w:rPr>
          <w:rStyle w:val="FootnoteReference"/>
          <w:rFonts w:ascii="Adobe Arabic" w:eastAsia="Times New Roman" w:hAnsi="Adobe Arabic" w:cs="Adobe Arabic"/>
          <w:color w:val="000000"/>
          <w:sz w:val="32"/>
          <w:szCs w:val="32"/>
          <w:rtl/>
        </w:rPr>
        <w:footnoteReference w:id="271"/>
      </w:r>
      <w:r w:rsidRPr="001609BB">
        <w:rPr>
          <w:rFonts w:ascii="Adobe Arabic" w:eastAsia="Times New Roman" w:hAnsi="Adobe Arabic" w:cs="Adobe Arabic"/>
          <w:color w:val="000000"/>
          <w:sz w:val="32"/>
          <w:szCs w:val="32"/>
          <w:rtl/>
        </w:rPr>
        <w:t>. بل إنّ العلَّامة الطباطبائيّ يؤكّد في مورد آخر «على أنّ جمًّا غفيرًا من الروايات التفسيريّة الواردة عنهم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مشتملةٌ على الاستدلال بآية على آية، والاستشهاد بمعنى على معنًى، ولا يستقيم ذلك إلّا بكون المعنى ممّا يمكن أن يناله المخاطَب ويستقلّ به ذهنه؛ لوروده من طريقه المعيّن له»</w:t>
      </w:r>
      <w:r w:rsidR="009C40F8">
        <w:rPr>
          <w:rStyle w:val="FootnoteReference"/>
          <w:rFonts w:ascii="Adobe Arabic" w:eastAsia="Times New Roman" w:hAnsi="Adobe Arabic" w:cs="Adobe Arabic"/>
          <w:color w:val="000000"/>
          <w:sz w:val="32"/>
          <w:szCs w:val="32"/>
          <w:rtl/>
        </w:rPr>
        <w:footnoteReference w:id="272"/>
      </w:r>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5" w:name="_Toc155869551"/>
      <w:r w:rsidRPr="00465CD4">
        <w:rPr>
          <w:rFonts w:ascii="Adobe Arabic" w:eastAsia="Times New Roman" w:hAnsi="Adobe Arabic" w:cs="Adobe Arabic"/>
          <w:b/>
          <w:bCs/>
          <w:color w:val="996633"/>
          <w:sz w:val="36"/>
          <w:szCs w:val="36"/>
          <w:rtl/>
        </w:rPr>
        <w:t>النظريّات في دور الروايات في التفسير</w:t>
      </w:r>
      <w:bookmarkEnd w:id="55"/>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يمكن، في هذا المجال، الحديث عن نظريّات ثلاثة: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03F8">
        <w:rPr>
          <w:rFonts w:ascii="Adobe Arabic" w:eastAsia="Times New Roman" w:hAnsi="Adobe Arabic" w:cs="Adobe Arabic"/>
          <w:b/>
          <w:bCs/>
          <w:color w:val="000000"/>
          <w:sz w:val="32"/>
          <w:szCs w:val="32"/>
          <w:rtl/>
        </w:rPr>
        <w:t>- النظريّة الأولى: </w:t>
      </w:r>
      <w:r w:rsidRPr="001609BB">
        <w:rPr>
          <w:rFonts w:ascii="Adobe Arabic" w:eastAsia="Times New Roman" w:hAnsi="Adobe Arabic" w:cs="Adobe Arabic"/>
          <w:color w:val="000000"/>
          <w:sz w:val="32"/>
          <w:szCs w:val="32"/>
          <w:rtl/>
        </w:rPr>
        <w:t>استقلال القرآن عن الأحاديث في التفسير: وقد قُدِّمَت هذه النظريّة بعدّة أشكال، يجمعها استقلال القرآن عن السنّة، وعدم حاجته إلى الروايات في تفسير نفسه.</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03F8">
        <w:rPr>
          <w:rFonts w:ascii="Adobe Arabic" w:eastAsia="Times New Roman" w:hAnsi="Adobe Arabic" w:cs="Adobe Arabic"/>
          <w:b/>
          <w:bCs/>
          <w:color w:val="000000"/>
          <w:sz w:val="32"/>
          <w:szCs w:val="32"/>
          <w:rtl/>
        </w:rPr>
        <w:t>- النظريّة الثانية:</w:t>
      </w:r>
      <w:r w:rsidRPr="001609BB">
        <w:rPr>
          <w:rFonts w:ascii="Adobe Arabic" w:eastAsia="Times New Roman" w:hAnsi="Adobe Arabic" w:cs="Adobe Arabic"/>
          <w:color w:val="000000"/>
          <w:sz w:val="32"/>
          <w:szCs w:val="32"/>
          <w:rtl/>
        </w:rPr>
        <w:t> نظريّة محورية السنة: ويُراد بها تفسير القرآن بالروايات المأثورة فقط، لا غير. ولعلّ من أصحاب هذه النظريّة، الذين أنكروا حجّيّة ظواهر القرآن، واكتفوا بالنصوص الروائيّة لفهم القرآن وتفسيره.</w:t>
      </w:r>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03F8">
        <w:rPr>
          <w:rFonts w:ascii="Adobe Arabic" w:eastAsia="Times New Roman" w:hAnsi="Adobe Arabic" w:cs="Adobe Arabic"/>
          <w:b/>
          <w:bCs/>
          <w:color w:val="000000"/>
          <w:sz w:val="32"/>
          <w:szCs w:val="32"/>
          <w:rtl/>
        </w:rPr>
        <w:t>- النظريّة الثالثة: </w:t>
      </w:r>
      <w:r w:rsidRPr="001609BB">
        <w:rPr>
          <w:rFonts w:ascii="Adobe Arabic" w:eastAsia="Times New Roman" w:hAnsi="Adobe Arabic" w:cs="Adobe Arabic"/>
          <w:color w:val="000000"/>
          <w:sz w:val="32"/>
          <w:szCs w:val="32"/>
          <w:rtl/>
        </w:rPr>
        <w:t>نظريّة محوريّة القرآن وقرينيّة السنّة: ويُراد بها عَدُّ أحاديث النبيّ وأهل بيته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قرائن لتفسير الآيات، وأدوات لتوضيح معاني الآيات ومقاصدها. وللروايات في هذه النظريّة أدوار مختلفة، منها: تبيين سبب النزول، أو الكشف عن مصداق الآية ومفهومها، أو بيان تأويل الآية وباطنها، أو الشرح لبعض الجزئيّات في آيات الأحكام</w:t>
      </w:r>
      <w:r w:rsidR="009C40F8">
        <w:rPr>
          <w:rStyle w:val="FootnoteReference"/>
          <w:rFonts w:ascii="Adobe Arabic" w:eastAsia="Times New Roman" w:hAnsi="Adobe Arabic" w:cs="Adobe Arabic"/>
          <w:color w:val="000000"/>
          <w:sz w:val="32"/>
          <w:szCs w:val="32"/>
          <w:rtl/>
        </w:rPr>
        <w:footnoteReference w:id="273"/>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b/>
          <w:bCs/>
          <w:color w:val="996633"/>
          <w:sz w:val="36"/>
          <w:szCs w:val="36"/>
          <w:rtl/>
        </w:rPr>
      </w:pPr>
      <w:bookmarkStart w:id="56" w:name="_Toc155869552"/>
      <w:r>
        <w:rPr>
          <w:rFonts w:ascii="Adobe Arabic" w:eastAsia="Times New Roman" w:hAnsi="Adobe Arabic" w:cs="Adobe Arabic"/>
          <w:b/>
          <w:bCs/>
          <w:color w:val="996633"/>
          <w:sz w:val="36"/>
          <w:szCs w:val="36"/>
          <w:rtl/>
        </w:rPr>
        <w:br w:type="page"/>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r w:rsidRPr="00465CD4">
        <w:rPr>
          <w:rFonts w:ascii="Adobe Arabic" w:eastAsia="Times New Roman" w:hAnsi="Adobe Arabic" w:cs="Adobe Arabic"/>
          <w:b/>
          <w:bCs/>
          <w:color w:val="996633"/>
          <w:sz w:val="36"/>
          <w:szCs w:val="36"/>
          <w:rtl/>
        </w:rPr>
        <w:lastRenderedPageBreak/>
        <w:t>العلَّامة الطباطبائيّ والنظريّات الثلاثة</w:t>
      </w:r>
      <w:bookmarkEnd w:id="56"/>
    </w:p>
    <w:p w:rsidR="00BD4C4D" w:rsidRPr="001609BB" w:rsidRDefault="00BD4C4D" w:rsidP="009C40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ذهب العديد من الباحثين إلى تصنيف العلَّامة الطباطبائيّ ضمن القائلين بالنظريّة الأولى -استقلال القرآن عن الأحاديث في التفسير- وذلك استنادًا إلى بعض كلماته الصريحة، ولا سيّما تلك التي أوردها في تفسيره الميزان. وكنموذج على ذلك، ما ذكره في بحثه حول روايات التفسير بالرأي، في ذيل تفسيره للآية السابعة من سورة آل عمران، حيث يقول في ختام البحث، كما تقدَّم: «والمحصَّل أنّ المنهيّ عنه إنّما هو الاستقلال في تفسير القرآن، واعتماد المفسِّر على نفسه، من غير رجوع إلى غيره، ولازمه وجوب الاستمداد من الغير بالرجوع إليه، وهذا الغير -لا محالة- إمّا هو الكتاب أو السنّة، وكونه هو السنّة ينافي القرآن والسنّة نفسها الآمرة بالرجوع إليه وعرض الأخبار عليه، فلا يبقى للرجوع إليه والاستمداد منه في تفسير القرآن إلّا القرآن نفسه»</w:t>
      </w:r>
      <w:r w:rsidR="009C40F8">
        <w:rPr>
          <w:rStyle w:val="FootnoteReference"/>
          <w:rFonts w:ascii="Adobe Arabic" w:eastAsia="Times New Roman" w:hAnsi="Adobe Arabic" w:cs="Adobe Arabic"/>
          <w:color w:val="000000"/>
          <w:sz w:val="32"/>
          <w:szCs w:val="32"/>
          <w:rtl/>
        </w:rPr>
        <w:footnoteReference w:id="274"/>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ويظهر من كلامه «أنّ التفسير الاستقلاليّ ليس صحيحًا؛ لأنّه تفسيرٌ بالرأي، وتفسير القرآن الكريم بالسنّة غير صحيح أيضًا؛ لأنّه يتنافى مع القرآن والسنّة؛ فإذًا، لا يبقى طريقٌ إلّا بالرجوع إلى القرآن نفسه بالتفسير، وهو ما يُسَمَّى "تفسير القرآن بالقرآن»</w:t>
      </w:r>
      <w:r w:rsidR="00576E43">
        <w:rPr>
          <w:rStyle w:val="FootnoteReference"/>
          <w:rFonts w:ascii="Adobe Arabic" w:eastAsia="Times New Roman" w:hAnsi="Adobe Arabic" w:cs="Adobe Arabic"/>
          <w:color w:val="000000"/>
          <w:sz w:val="32"/>
          <w:szCs w:val="32"/>
          <w:rtl/>
        </w:rPr>
        <w:footnoteReference w:id="275"/>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إلّا أنّه، وللوقوف بنحو دقيق على متبنّى العلَّامة في هذه المسألة، نجد من المناسب أن نتحدّث عن قسمَي السنّة الواقعيّة والسنّة المحكيّة، لنرى بنحو أكثر مقاربة للواقع، حقيقةَ نظره للعلاقة بين القرآن والسنّة في كِلا هذَين القسمَين.</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7" w:name="_Toc155869553"/>
      <w:r w:rsidRPr="00465CD4">
        <w:rPr>
          <w:rFonts w:ascii="Adobe Arabic" w:eastAsia="Times New Roman" w:hAnsi="Adobe Arabic" w:cs="Adobe Arabic"/>
          <w:b/>
          <w:bCs/>
          <w:color w:val="996633"/>
          <w:sz w:val="36"/>
          <w:szCs w:val="36"/>
          <w:rtl/>
        </w:rPr>
        <w:t>القرآن والسنّة الواقعيّة</w:t>
      </w:r>
      <w:bookmarkEnd w:id="57"/>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 المتبادَر الأَوَّليّ من كلام العلَّامة الطباطبائيّ، مع ملاحظة كلامه المنقول آنفًا –كما تقدّم- هو استقلال القرآن عن السنّة، وعدم حاجته إليها في تفسير نفسه. ولكنّ الإنصاف والدقّة في البحث يدعواننا لتتبُّع كلماته المختلفة، للوقوف بعد ذلك على مراده النهائيّ من هذه المسألة. ونكتفي في هذا المجال بذكر الموردَين الآتيتين:</w:t>
      </w:r>
    </w:p>
    <w:p w:rsidR="00932FF5" w:rsidRDefault="00932FF5">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03F8">
        <w:rPr>
          <w:rFonts w:ascii="Adobe Arabic" w:eastAsia="Times New Roman" w:hAnsi="Adobe Arabic" w:cs="Adobe Arabic"/>
          <w:b/>
          <w:bCs/>
          <w:color w:val="000000"/>
          <w:sz w:val="32"/>
          <w:szCs w:val="32"/>
          <w:rtl/>
        </w:rPr>
        <w:lastRenderedPageBreak/>
        <w:t>المورد الأوّل:</w:t>
      </w:r>
      <w:r w:rsidRPr="001609BB">
        <w:rPr>
          <w:rFonts w:ascii="Adobe Arabic" w:eastAsia="Times New Roman" w:hAnsi="Adobe Arabic" w:cs="Adobe Arabic"/>
          <w:color w:val="000000"/>
          <w:sz w:val="32"/>
          <w:szCs w:val="32"/>
          <w:rtl/>
        </w:rPr>
        <w:t> ذكر </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في معرض تفسيره للآية 44 من سورة النحل، وهي قوله تعالى: </w:t>
      </w:r>
      <w:r w:rsidRPr="008711A0">
        <w:rPr>
          <w:rFonts w:ascii="Traditional Arabic" w:eastAsia="Times New Roman" w:hAnsi="Traditional Arabic" w:cs="Traditional Arabic"/>
          <w:b/>
          <w:bCs/>
          <w:color w:val="538135" w:themeColor="accent6" w:themeShade="BF"/>
          <w:sz w:val="32"/>
          <w:szCs w:val="32"/>
          <w:rtl/>
        </w:rPr>
        <w:t>﴿وَأَنزَل</w:t>
      </w:r>
      <w:r w:rsidRPr="008711A0">
        <w:rPr>
          <w:rFonts w:ascii="Traditional Arabic" w:eastAsia="Times New Roman" w:hAnsi="Traditional Arabic" w:cs="Traditional Arabic" w:hint="cs"/>
          <w:b/>
          <w:bCs/>
          <w:color w:val="538135" w:themeColor="accent6" w:themeShade="BF"/>
          <w:sz w:val="32"/>
          <w:szCs w:val="32"/>
          <w:rtl/>
        </w:rPr>
        <w:t>ۡنَآ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إِلَيۡكَ</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ٱلذِّكۡرَ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لِتُبَيِّنَ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نُزِّلَ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إِلَيۡهِمۡ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وَلَعَلَّهُمۡ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يَتَفَك</w:t>
      </w:r>
      <w:r w:rsidRPr="008711A0">
        <w:rPr>
          <w:rFonts w:ascii="Traditional Arabic" w:eastAsia="Times New Roman" w:hAnsi="Traditional Arabic" w:cs="Traditional Arabic"/>
          <w:b/>
          <w:bCs/>
          <w:color w:val="538135" w:themeColor="accent6" w:themeShade="BF"/>
          <w:sz w:val="32"/>
          <w:szCs w:val="32"/>
          <w:rtl/>
        </w:rPr>
        <w:t>َّرُونَ﴾</w:t>
      </w:r>
      <w:r w:rsidRPr="001609BB">
        <w:rPr>
          <w:rFonts w:ascii="Adobe Arabic" w:eastAsia="Times New Roman" w:hAnsi="Adobe Arabic" w:cs="Adobe Arabic"/>
          <w:color w:val="000000"/>
          <w:sz w:val="32"/>
          <w:szCs w:val="32"/>
          <w:rtl/>
        </w:rPr>
        <w:t> أنّه يعدّ بيان النبيّ والأئّمة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حجّة في تفسير القرآن. قال</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«وفي الآية دلالة على حجّيّة قول النبيّ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في بيان الآيات القرآنيّة. وأمّا ما ذكره بعضهم أنّ ذلك في غير النصّ والظاهر من المتشابهات، أو فيما يرجع إلى أسرار كلام الله وما فيه من التأويل، فممّا لا ينبغي أن يصغى إليه. هذا في بيانه نفسه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ويلحق به بيان أهل بيته لحديث الثقلَين المتواتر وغيره...»</w:t>
      </w:r>
      <w:r w:rsidR="00576E43">
        <w:rPr>
          <w:rStyle w:val="FootnoteReference"/>
          <w:rFonts w:ascii="Adobe Arabic" w:eastAsia="Times New Roman" w:hAnsi="Adobe Arabic" w:cs="Adobe Arabic"/>
          <w:color w:val="000000"/>
          <w:sz w:val="32"/>
          <w:szCs w:val="32"/>
          <w:rtl/>
        </w:rPr>
        <w:footnoteReference w:id="276"/>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03F8">
        <w:rPr>
          <w:rFonts w:ascii="Adobe Arabic" w:eastAsia="Times New Roman" w:hAnsi="Adobe Arabic" w:cs="Adobe Arabic"/>
          <w:b/>
          <w:bCs/>
          <w:color w:val="000000"/>
          <w:sz w:val="32"/>
          <w:szCs w:val="32"/>
          <w:rtl/>
        </w:rPr>
        <w:t>المورد الثاني:</w:t>
      </w:r>
      <w:r w:rsidRPr="001609BB">
        <w:rPr>
          <w:rFonts w:ascii="Adobe Arabic" w:eastAsia="Times New Roman" w:hAnsi="Adobe Arabic" w:cs="Adobe Arabic"/>
          <w:color w:val="000000"/>
          <w:sz w:val="32"/>
          <w:szCs w:val="32"/>
          <w:rtl/>
        </w:rPr>
        <w:t> في قوله تعالى: </w:t>
      </w:r>
      <w:r w:rsidRPr="008711A0">
        <w:rPr>
          <w:rFonts w:ascii="Traditional Arabic" w:eastAsia="Times New Roman" w:hAnsi="Traditional Arabic" w:cs="Traditional Arabic"/>
          <w:b/>
          <w:bCs/>
          <w:color w:val="538135" w:themeColor="accent6" w:themeShade="BF"/>
          <w:sz w:val="32"/>
          <w:szCs w:val="32"/>
          <w:rtl/>
        </w:rPr>
        <w:t>﴿هُوَ ٱلَّذِي بَعَثَ فِي ٱل</w:t>
      </w:r>
      <w:r w:rsidRPr="008711A0">
        <w:rPr>
          <w:rFonts w:ascii="Traditional Arabic" w:eastAsia="Times New Roman" w:hAnsi="Traditional Arabic" w:cs="Traditional Arabic" w:hint="cs"/>
          <w:b/>
          <w:bCs/>
          <w:color w:val="538135" w:themeColor="accent6" w:themeShade="BF"/>
          <w:sz w:val="32"/>
          <w:szCs w:val="32"/>
          <w:rtl/>
        </w:rPr>
        <w:t>ۡأُمِّيِّ‍ۧنَ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رَسُولا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يَتۡلُواْ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عَلَيۡهِمۡ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ءَايَٰتِهِۦ</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وَيُزَكِّيهِمۡ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وَيُعَلِّمُهُمُ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ٱلۡكِتَٰبَ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وَٱلۡحِكۡمَةَ﴾</w:t>
      </w:r>
      <w:r w:rsidR="00576E43">
        <w:rPr>
          <w:rStyle w:val="FootnoteReference"/>
          <w:rFonts w:ascii="Traditional Arabic" w:eastAsia="Times New Roman" w:hAnsi="Traditional Arabic" w:cs="Traditional Arabic"/>
          <w:b/>
          <w:bCs/>
          <w:color w:val="538135" w:themeColor="accent6" w:themeShade="BF"/>
          <w:sz w:val="32"/>
          <w:szCs w:val="32"/>
          <w:rtl/>
        </w:rPr>
        <w:footnoteReference w:id="277"/>
      </w:r>
      <w:r w:rsidRPr="001609BB">
        <w:rPr>
          <w:rFonts w:ascii="Adobe Arabic" w:eastAsia="Times New Roman" w:hAnsi="Adobe Arabic" w:cs="Adobe Arabic"/>
          <w:color w:val="000000"/>
          <w:sz w:val="32"/>
          <w:szCs w:val="32"/>
          <w:rtl/>
        </w:rPr>
        <w:t>، حيث يقول: «وتعليمُ الكتاب بيانُ ألفاظِ آياته وتفسيرُ ما أشكل من ذلك، ويقابله تعليم الحكمة، وهي المعارف الحقيقيّة التي يتضمّنها القرآن. والتعبير عن القرآن تارةً بالآيات، وتارةً بالكتاب، للدلالة على أنّه بكلٍّ مِن هذه العناوين، نعمةٌ يمتنّ بها كما قيل»</w:t>
      </w:r>
      <w:r w:rsidR="00576E43">
        <w:rPr>
          <w:rStyle w:val="FootnoteReference"/>
          <w:rFonts w:ascii="Adobe Arabic" w:eastAsia="Times New Roman" w:hAnsi="Adobe Arabic" w:cs="Adobe Arabic"/>
          <w:color w:val="000000"/>
          <w:sz w:val="32"/>
          <w:szCs w:val="32"/>
          <w:rtl/>
        </w:rPr>
        <w:footnoteReference w:id="278"/>
      </w:r>
      <w:r w:rsidRPr="001609BB">
        <w:rPr>
          <w:rFonts w:ascii="Adobe Arabic" w:eastAsia="Times New Roman" w:hAnsi="Adobe Arabic" w:cs="Adobe Arabic"/>
          <w:color w:val="000000"/>
          <w:sz w:val="32"/>
          <w:szCs w:val="32"/>
          <w:rtl/>
        </w:rPr>
        <w:t>. إلى أن يقول: «فالتعليم القرآنيّ الذي تصدّاه الرسول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المبيّن لِما نزل من عند الله، هو تعليم الحكمة، وشأنه بيان ما هو الحقّ في أصول الاعتقادات الباطلة الخرافيّة، التي دبّت في أفهام الناس، من تصوُّر عالَم الوجود وحقيقة الإنسان الذي هو جزء منه -كما تقدَّمَت الإشارة إليه- وما هو الحقّ في الاعتقادات الفرعية المترتّبة على تلك الأصول ممّا كان مبدأ للأعمال الإنسانيّة، وعناوين لغاياتها ومقاصدها»</w:t>
      </w:r>
      <w:r w:rsidR="00576E43">
        <w:rPr>
          <w:rStyle w:val="FootnoteReference"/>
          <w:rFonts w:ascii="Adobe Arabic" w:eastAsia="Times New Roman" w:hAnsi="Adobe Arabic" w:cs="Adobe Arabic"/>
          <w:color w:val="000000"/>
          <w:sz w:val="32"/>
          <w:szCs w:val="32"/>
          <w:rtl/>
        </w:rPr>
        <w:footnoteReference w:id="279"/>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والحاصل ممّا تقدّم، أنّ ظاهر كلام العلَّامة، الوارد في تفسيره للآية السابعة من سورة آل عمران، لا يكشف عن مقصوده بصورة مطلقة، فهو لا يقصد نفي حجّيّة السنّة في تفسير الكتاب بصورة مطلقة، بل إنّه يعترف بحجّيّتها في بيان القرآن.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وفي هذا المجال، «ذكر أحدُ تلامذته البارزين -وهو الشيخ عبد الله الجوادي آملي- تفسيرًا لاستقلال القرآن الكريم لدى العلَّامة الطباطبائيّ، يمكن عَدُّ</w:t>
      </w:r>
      <w:r w:rsidRPr="001609BB">
        <w:rPr>
          <w:rFonts w:ascii="Adobe Arabic" w:eastAsia="Times New Roman" w:hAnsi="Adobe Arabic" w:cs="Adobe Arabic"/>
          <w:color w:val="000000"/>
          <w:sz w:val="32"/>
          <w:szCs w:val="32"/>
          <w:rtl/>
          <w:lang w:val="en-GB"/>
        </w:rPr>
        <w:t>ه</w:t>
      </w:r>
      <w:r w:rsidRPr="001609BB">
        <w:rPr>
          <w:rFonts w:ascii="Adobe Arabic" w:eastAsia="Times New Roman" w:hAnsi="Adobe Arabic" w:cs="Adobe Arabic"/>
          <w:color w:val="000000"/>
          <w:sz w:val="32"/>
          <w:szCs w:val="32"/>
          <w:rtl/>
        </w:rPr>
        <w:t> توضيحًا جيّدًا لكلامه، وهو:</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أوّلًا: إنّ الثقلَين لا يمكن أن يفترقا عن بعضهما بعضًا، بل هما متلازمان، ويشكّلان حجّة إلهيّة واحدة. غاية ما هناك أنّ أحدهما يُعَدُّ أصلًا والآخر فرعًا لذلك الأصل، أو أنّ أحدهما نصًّا والآخر شرحًا له. فالقرآن والعترة لا يفترقان، كما أنّه ليس أحدهما في عرض الآخر، فرسالة الدين النهائيّة ترتبط بالقرآن والسنّة.</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ثانياً: إنّ القرآن الكريم لا يحتاج إلى غيره في سنده، ولا في ظواهره، ولا في رسم الخطوط الكلّيّة للدين، وهو مستقلٌّ حدوثًا وبقاءً، فهو الثقل الأكبر للأحاديث التابعة للقرآن، حدوثًا وبقاءً؛ لأنّ المراد من الاستقلال هو الاستقلال النسبي وليس الاستقلال النفسي. ومن هنا فإن الاعتماد على الأصول العقلائية في فهم معاني القرآن وألفاظه لا ينافي استقلاله في الحجّيّة والدلالة.</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ثالثًا: ارتباط الروايات بالقرآن من حيث اعتبار السند، سواء كان ذلك في السنّة القطعيّة، وأيضًا من ناحية حجّيّة النصّ في خصوص السنّة غير القطعيّة. ولكن بعد تأمين أصل اعتبار السنّة بواسطة القرآن، فسوف تكون حجّة مستقلّة غير منحصرة شأنها شأن القرآن. فالقرآن مستقلٌّ في شؤونه جميعها، وغير مرتبط بغيره، ولكن لأنّ الدين يرتبط بالقرآن وسنّة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في عرض رسالته النهائيّة، ومن هذا الجانب، فإنّ القرآن والسنّة لا يمكن أن يفترقا في بيان مفاهيم الدين في الاعتقاد والعمل؛ بمعنى أنّ القرآن يتكفّل بتبيين الخطوط الكلّيّة للدين، وتتعهّد السنّة ببيان التفصيلات وجزئيّات الأحكام»</w:t>
      </w:r>
      <w:r w:rsidR="00576E43">
        <w:rPr>
          <w:rStyle w:val="FootnoteReference"/>
          <w:rFonts w:ascii="Adobe Arabic" w:eastAsia="Times New Roman" w:hAnsi="Adobe Arabic" w:cs="Adobe Arabic"/>
          <w:color w:val="000000"/>
          <w:sz w:val="32"/>
          <w:szCs w:val="32"/>
          <w:rtl/>
        </w:rPr>
        <w:footnoteReference w:id="280"/>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والنتيجة التي نخلص إليها من العرض المتقدّم، أنّ العلَّامة الطباطبائيّ يعدّ بيانَ النبيّ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والأئمّة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حجّة في بيان القرآن الكريم. هذا فيما يرتبط بالسنّة الواقعيّة.</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8" w:name="_Toc155869554"/>
      <w:r w:rsidRPr="00465CD4">
        <w:rPr>
          <w:rFonts w:ascii="Adobe Arabic" w:eastAsia="Times New Roman" w:hAnsi="Adobe Arabic" w:cs="Adobe Arabic"/>
          <w:b/>
          <w:bCs/>
          <w:color w:val="996633"/>
          <w:sz w:val="36"/>
          <w:szCs w:val="36"/>
          <w:rtl/>
        </w:rPr>
        <w:t>القرآن والسنّة المحكيّة</w:t>
      </w:r>
      <w:bookmarkEnd w:id="58"/>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لا بدّ في بداية الحديث، من التأكيد على مسألة، وهي أنّ الكلام سيتركّز على علاقة القرآن بخبرِ الواحد من السنّة المحكيّة، لا المتواتر، ولا خبرِ الواحد المحفوف بقرائن تفيد القطع بصدور مضمونه عن المعصوم؛ فإنّهما كاشفَين قطعيَّين عن السنّة الواقعيّة، فيلحقهما حكمها. قال في الميزان: «هذا كلّه في نفس بيانهم المتلقّى بالمشافهة، وأمّا الخبر الحاكي له، فما كان منه بيانًا متواترًا أو محفوفًا بقرينة قطعيّة وما يلحق به، فهو حجّة؛ لكونه بيانهم»</w:t>
      </w:r>
      <w:r w:rsidR="00576E43">
        <w:rPr>
          <w:rStyle w:val="FootnoteReference"/>
          <w:rFonts w:ascii="Adobe Arabic" w:eastAsia="Times New Roman" w:hAnsi="Adobe Arabic" w:cs="Adobe Arabic"/>
          <w:color w:val="000000"/>
          <w:sz w:val="32"/>
          <w:szCs w:val="32"/>
          <w:rtl/>
        </w:rPr>
        <w:footnoteReference w:id="281"/>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فالكلام ينحصر في خبر الواحد، سواء منه ما ثبَتت حجّيّته دون أن يصل إلى حدّ القطع بصدوره، وما لم تثبت حجيّته، كالخبر الضعيف. وفي هذا المجال، يقول </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بعد كلامه السابق: «وأمّا ما كان مخالِفًا للكتاب، أو غير مخالف لكنّه ليس بمتواتر ولا محفوفًا بالقرينة، فلا حجّيّة فيه؛ لعدم كونه بيانًا في الأوّل، وعدم إحراز البيانيّة في الثاني، وللتفصيل محلٌّ آخر»</w:t>
      </w:r>
      <w:r w:rsidR="00576E43">
        <w:rPr>
          <w:rStyle w:val="FootnoteReference"/>
          <w:rFonts w:ascii="Adobe Arabic" w:eastAsia="Times New Roman" w:hAnsi="Adobe Arabic" w:cs="Adobe Arabic"/>
          <w:color w:val="000000"/>
          <w:sz w:val="32"/>
          <w:szCs w:val="32"/>
          <w:rtl/>
        </w:rPr>
        <w:footnoteReference w:id="282"/>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وكلامه </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في عدم حجّيّة الخبر الضعيف في تفسير كتاب الله تعالى، ممّا لا غبار عليه</w:t>
      </w:r>
      <w:r w:rsidR="00576E43">
        <w:rPr>
          <w:rStyle w:val="FootnoteReference"/>
          <w:rFonts w:ascii="Adobe Arabic" w:eastAsia="Times New Roman" w:hAnsi="Adobe Arabic" w:cs="Adobe Arabic"/>
          <w:color w:val="000000"/>
          <w:sz w:val="32"/>
          <w:szCs w:val="32"/>
          <w:rtl/>
        </w:rPr>
        <w:footnoteReference w:id="283"/>
      </w:r>
      <w:r w:rsidRPr="001609BB">
        <w:rPr>
          <w:rFonts w:ascii="Adobe Arabic" w:eastAsia="Times New Roman" w:hAnsi="Adobe Arabic" w:cs="Adobe Arabic"/>
          <w:color w:val="000000"/>
          <w:sz w:val="32"/>
          <w:szCs w:val="32"/>
          <w:rtl/>
        </w:rPr>
        <w:t>. وإنّما ما يحتاج إلى بحث وتقصٍّ، هو عدم حجّيّة خبرِ الواحد في التفسير، مع استجماعه لشرائط الحجّيّة. وقد تقدَّم وجود اتّجاه آخر تبنّى حجّيّة هذا النوع من خبرِ الواحد، تبنّاه العديدُ من الأعلام، منهم السيّد الخوئيّ</w:t>
      </w:r>
      <w:r w:rsidR="00932FF5">
        <w:rPr>
          <w:rFonts w:ascii="Adobe Arabic" w:eastAsia="Times New Roman" w:hAnsi="Adobe Arabic" w:cs="Adobe Arabic"/>
          <w:color w:val="000000"/>
          <w:sz w:val="32"/>
          <w:szCs w:val="32"/>
          <w:rtl/>
        </w:rPr>
        <w:t>(رحمه الله)</w:t>
      </w:r>
      <w:r w:rsidR="00576E43">
        <w:rPr>
          <w:rStyle w:val="FootnoteReference"/>
          <w:rFonts w:ascii="Adobe Arabic" w:eastAsia="Times New Roman" w:hAnsi="Adobe Arabic" w:cs="Adobe Arabic"/>
          <w:color w:val="000000"/>
          <w:sz w:val="32"/>
          <w:szCs w:val="32"/>
          <w:rtl/>
        </w:rPr>
        <w:footnoteReference w:id="284"/>
      </w:r>
      <w:r w:rsidRPr="001609BB">
        <w:rPr>
          <w:rFonts w:ascii="Adobe Arabic" w:eastAsia="Times New Roman" w:hAnsi="Adobe Arabic" w:cs="Adobe Arabic"/>
          <w:color w:val="000000"/>
          <w:sz w:val="32"/>
          <w:szCs w:val="32"/>
          <w:rtl/>
        </w:rPr>
        <w:t>. فهل إنّ العلَّامة </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يتبنّى بنحو مطلق عدم حجّيّة خبر الواحد في التفسير، أو لا؟</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يبدو، وعبر التتبُّع لكلماته المتفرقة، ولأسلوب بحثه في تفسيره الميزان، أنّه يَقبَل حجّيّة خبرِ الواحد في بيان الكتاب في عدّة موارد، منها:</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أوّلًا: دور السنّة في بيان تفاصيل الأحكام الشرعيّة</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حيث أكّد العلَّامة الطباطبائيّ في تفسيره الميزان، أنّ الآية الكريمة في قوله تعالى:</w:t>
      </w:r>
      <w:r w:rsidR="00932FF5">
        <w:rPr>
          <w:rFonts w:ascii="Adobe Arabic" w:eastAsia="Times New Roman" w:hAnsi="Adobe Arabic" w:cs="Adobe Arabic" w:hint="cs"/>
          <w:color w:val="000000"/>
          <w:sz w:val="32"/>
          <w:szCs w:val="32"/>
          <w:rtl/>
        </w:rPr>
        <w:t xml:space="preserve"> </w:t>
      </w:r>
      <w:r w:rsidRPr="008711A0">
        <w:rPr>
          <w:rFonts w:ascii="Traditional Arabic" w:eastAsia="Times New Roman" w:hAnsi="Traditional Arabic" w:cs="Traditional Arabic"/>
          <w:b/>
          <w:bCs/>
          <w:color w:val="538135" w:themeColor="accent6" w:themeShade="BF"/>
          <w:sz w:val="32"/>
          <w:szCs w:val="32"/>
          <w:rtl/>
        </w:rPr>
        <w:t>﴿أَفَلَا يَتَدَبَّرُونَ ٱل</w:t>
      </w:r>
      <w:r w:rsidRPr="008711A0">
        <w:rPr>
          <w:rFonts w:ascii="Traditional Arabic" w:eastAsia="Times New Roman" w:hAnsi="Traditional Arabic" w:cs="Traditional Arabic" w:hint="cs"/>
          <w:b/>
          <w:bCs/>
          <w:color w:val="538135" w:themeColor="accent6" w:themeShade="BF"/>
          <w:sz w:val="32"/>
          <w:szCs w:val="32"/>
          <w:rtl/>
        </w:rPr>
        <w:t>ۡقُرۡءَانَۚ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وَلَوۡ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كَانَ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ٱللَّهِ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لَوَجَدُواْ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هِ ٱخ</w:t>
      </w:r>
      <w:r w:rsidRPr="008711A0">
        <w:rPr>
          <w:rFonts w:ascii="Traditional Arabic" w:eastAsia="Times New Roman" w:hAnsi="Traditional Arabic" w:cs="Traditional Arabic" w:hint="cs"/>
          <w:b/>
          <w:bCs/>
          <w:color w:val="538135" w:themeColor="accent6" w:themeShade="BF"/>
          <w:sz w:val="32"/>
          <w:szCs w:val="32"/>
          <w:rtl/>
        </w:rPr>
        <w:t>ۡتِلَٰفا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كَثِيرا﴾</w:t>
      </w:r>
      <w:r w:rsidR="00576E43">
        <w:rPr>
          <w:rStyle w:val="FootnoteReference"/>
          <w:rFonts w:ascii="Traditional Arabic" w:eastAsia="Times New Roman" w:hAnsi="Traditional Arabic" w:cs="Traditional Arabic"/>
          <w:b/>
          <w:bCs/>
          <w:color w:val="538135" w:themeColor="accent6" w:themeShade="BF"/>
          <w:sz w:val="32"/>
          <w:szCs w:val="32"/>
          <w:rtl/>
        </w:rPr>
        <w:footnoteReference w:id="285"/>
      </w:r>
      <w:r w:rsidRPr="001609BB">
        <w:rPr>
          <w:rFonts w:ascii="Adobe Arabic" w:eastAsia="Times New Roman" w:hAnsi="Adobe Arabic" w:cs="Adobe Arabic"/>
          <w:color w:val="000000"/>
          <w:sz w:val="32"/>
          <w:szCs w:val="32"/>
          <w:rtl/>
        </w:rPr>
        <w:t>، «تدلّ دلالةً واضحة على أنّ المعارف القرآنيّة يمكن أن ينالها الباحث بالتدبُّر والبحث... نعم، تفاصيلُ الأحكام ممّا لا سبيل إلى تلقّيه من غير بيان النبيّ</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كما أرجعها القرآن إليه في قوله تعالى: </w:t>
      </w:r>
      <w:r w:rsidRPr="008711A0">
        <w:rPr>
          <w:rFonts w:ascii="Traditional Arabic" w:eastAsia="Times New Roman" w:hAnsi="Traditional Arabic" w:cs="Traditional Arabic"/>
          <w:b/>
          <w:bCs/>
          <w:color w:val="538135" w:themeColor="accent6" w:themeShade="BF"/>
          <w:sz w:val="32"/>
          <w:szCs w:val="32"/>
          <w:rtl/>
        </w:rPr>
        <w:t>﴿وَمَآ ءَاتَىٰكُمُ ٱلرَّسُولُ فَخُذُوهُ وَمَا نَهَىٰكُم</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عَنۡهُ</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فَٱنتَهُواْۚ﴾</w:t>
      </w:r>
      <w:r w:rsidRPr="001609BB">
        <w:rPr>
          <w:rFonts w:ascii="Adobe Arabic" w:eastAsia="Times New Roman" w:hAnsi="Adobe Arabic" w:cs="Adobe Arabic" w:hint="cs"/>
          <w:color w:val="000000"/>
          <w:sz w:val="32"/>
          <w:szCs w:val="32"/>
          <w:rtl/>
        </w:rPr>
        <w:t>،</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وما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معناه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w:t>
      </w:r>
      <w:r w:rsidRPr="001609BB">
        <w:rPr>
          <w:rFonts w:ascii="Adobe Arabic" w:eastAsia="Times New Roman" w:hAnsi="Adobe Arabic" w:cs="Adobe Arabic"/>
          <w:color w:val="000000"/>
          <w:sz w:val="32"/>
          <w:szCs w:val="32"/>
          <w:rtl/>
        </w:rPr>
        <w:t>آيات، وكذا تفاصيل القصص والمعاد مثلًا»</w:t>
      </w:r>
      <w:r w:rsidR="00576E43">
        <w:rPr>
          <w:rStyle w:val="FootnoteReference"/>
          <w:rFonts w:ascii="Adobe Arabic" w:eastAsia="Times New Roman" w:hAnsi="Adobe Arabic" w:cs="Adobe Arabic"/>
          <w:color w:val="000000"/>
          <w:sz w:val="32"/>
          <w:szCs w:val="32"/>
          <w:rtl/>
        </w:rPr>
        <w:footnoteReference w:id="286"/>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وكذلك تعرَّض</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لهذا الأمر في كتابه "الشيعة في الإسلام"، بقوله: «يشير القرآن الكريم إلى كلّيّات بعض المعارف الإسلاميّة، وهي الأحكام والقوانين التشريعيّة، كالصلاة والصوم والمعاملات وسائر العبادات، ويتوقّف تفصيلها بالرجوع إلى السنّة -حديث الرسول الأكرم </w:t>
      </w:r>
      <w:r w:rsidR="001609BB" w:rsidRPr="001609BB">
        <w:rPr>
          <w:rFonts w:ascii="Adobe Arabic" w:eastAsia="Times New Roman" w:hAnsi="Adobe Arabic" w:cs="Adobe Arabic"/>
          <w:color w:val="000000"/>
          <w:sz w:val="32"/>
          <w:szCs w:val="32"/>
          <w:rtl/>
        </w:rPr>
        <w:t>(صلى الله عليه وآله)</w:t>
      </w:r>
      <w:r w:rsidRPr="001609BB">
        <w:rPr>
          <w:rFonts w:ascii="Adobe Arabic" w:eastAsia="Times New Roman" w:hAnsi="Adobe Arabic" w:cs="Adobe Arabic"/>
          <w:color w:val="000000"/>
          <w:sz w:val="32"/>
          <w:szCs w:val="32"/>
          <w:rtl/>
        </w:rPr>
        <w:t> وأهل البيت</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وبعضها الآخر، كالاعتقادات والأخلاق، وإن كانت مضامينها وتفاصيلها يفهمها العامّة، لكنّ إدراك معانيها وفهمها، يستلزم اتّخاذ نهج أهل البيت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 مع الاستعانة بالآيات، فإنّها تفسّر بعضها بعضاً، ولا يمكن الاستعانة برأيٍ خاصّ، والذي أصبح من العادات والتقاليد، وباتت النفس تستأنس به»</w:t>
      </w:r>
      <w:r w:rsidR="00576E43">
        <w:rPr>
          <w:rStyle w:val="FootnoteReference"/>
          <w:rFonts w:ascii="Adobe Arabic" w:eastAsia="Times New Roman" w:hAnsi="Adobe Arabic" w:cs="Adobe Arabic"/>
          <w:color w:val="000000"/>
          <w:sz w:val="32"/>
          <w:szCs w:val="32"/>
          <w:rtl/>
        </w:rPr>
        <w:footnoteReference w:id="287"/>
      </w:r>
      <w:r w:rsidRPr="001609BB">
        <w:rPr>
          <w:rFonts w:ascii="Adobe Arabic" w:eastAsia="Times New Roman" w:hAnsi="Adobe Arabic" w:cs="Adobe Arabic"/>
          <w:color w:val="000000"/>
          <w:sz w:val="32"/>
          <w:szCs w:val="32"/>
          <w:rtl/>
        </w:rPr>
        <w:t>.</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وكلامه</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يعمّ السنّة الواقعيّة والمحكيّة، سواء منها ما وصل إلى حدّ القطع بصدوره، أو ما لم يصل إلى هذه الدرجة ولكنّه استوفى شرائط الحجّيّة.</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وقد صرّح في غير موضع في تفسير الميزان، أنّ خبرَ الواحد حجّةٌ فيما يترتّب عليه أثر عمليّ، كالأحكام دون غيرها، قال</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 «لا معنى لجعل حجّيّة أخبار الآحاد في غير الأحكام الشرعيّة، فإنّ حقيقة الجعل التشريعيّ إيجابُ ترتيبِ أثر الواقع على الحجّة الظاهريّة، وهو متوقِّف على وجود أثر عمليّ للحجّة، كما في الأحكام، وأمّا غيرها فلا أثر فيه حتّى يترتّب على جعل الحجّيّة، مثلًا، إذا وردَت الرواية بكون البسملة جزءًا من السورة، كان معنى جعل حجّيّتها وجوب الإتيان بالبسملة في القراءة في الصلاة، وأمّا إذا ورد –مثلًا- أنّ السامريّ كان رجلًا من كرمان، وهو خبر واحد ظنّيّ، كان معنى جعل حجّيّته أن يجعل الظنّ بمضمونه قطعًا، وهو حكم تكوينيّ ممتنع، وليس من التشريع في شيء، وتمام الكلام في علم الأصول»</w:t>
      </w:r>
      <w:r w:rsidR="00576E43">
        <w:rPr>
          <w:rStyle w:val="FootnoteReference"/>
          <w:rFonts w:ascii="Adobe Arabic" w:eastAsia="Times New Roman" w:hAnsi="Adobe Arabic" w:cs="Adobe Arabic"/>
          <w:color w:val="000000"/>
          <w:sz w:val="32"/>
          <w:szCs w:val="32"/>
          <w:rtl/>
        </w:rPr>
        <w:footnoteReference w:id="288"/>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ويُستفَاد من كلامه أنّ البيان الوارد –ولو كان خبرَواحدٍ- على آيات الأحكام حجّة؛ لأنّ خبر الواحد في الأحكام الشرعيّة حجّة، فيصبح التفسير في هذا القسم حجّة</w:t>
      </w:r>
      <w:r w:rsidR="00576E43">
        <w:rPr>
          <w:rStyle w:val="FootnoteReference"/>
          <w:rFonts w:ascii="Adobe Arabic" w:eastAsia="Times New Roman" w:hAnsi="Adobe Arabic" w:cs="Adobe Arabic"/>
          <w:color w:val="000000"/>
          <w:sz w:val="32"/>
          <w:szCs w:val="32"/>
          <w:rtl/>
        </w:rPr>
        <w:footnoteReference w:id="289"/>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ثانيًا: دور السنّة في بيان مصاديق الآيات</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كثيراً ما يستعمل العلَّامة الطباطبائيُّ السنّةَ للوقوف على بعض مصاديق الآيات القرآنيّة، وهناك العديد من الأمثلة، منها:</w:t>
      </w:r>
    </w:p>
    <w:p w:rsidR="00932FF5"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المثال الأول: في قوله تعالى: </w:t>
      </w:r>
      <w:r w:rsidRPr="008711A0">
        <w:rPr>
          <w:rFonts w:ascii="Traditional Arabic" w:eastAsia="Times New Roman" w:hAnsi="Traditional Arabic" w:cs="Traditional Arabic"/>
          <w:b/>
          <w:bCs/>
          <w:color w:val="538135" w:themeColor="accent6" w:themeShade="BF"/>
          <w:sz w:val="32"/>
          <w:szCs w:val="32"/>
          <w:rtl/>
        </w:rPr>
        <w:t>﴿ٱه</w:t>
      </w:r>
      <w:r w:rsidRPr="008711A0">
        <w:rPr>
          <w:rFonts w:ascii="Traditional Arabic" w:eastAsia="Times New Roman" w:hAnsi="Traditional Arabic" w:cs="Traditional Arabic" w:hint="cs"/>
          <w:b/>
          <w:bCs/>
          <w:color w:val="538135" w:themeColor="accent6" w:themeShade="BF"/>
          <w:sz w:val="32"/>
          <w:szCs w:val="32"/>
          <w:rtl/>
        </w:rPr>
        <w:t>ۡدِنَا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ٱلصِّرَٰطَ</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ٱلۡمُسۡتَق</w:t>
      </w:r>
      <w:r w:rsidRPr="008711A0">
        <w:rPr>
          <w:rFonts w:ascii="Traditional Arabic" w:eastAsia="Times New Roman" w:hAnsi="Traditional Arabic" w:cs="Traditional Arabic"/>
          <w:b/>
          <w:bCs/>
          <w:color w:val="538135" w:themeColor="accent6" w:themeShade="BF"/>
          <w:sz w:val="32"/>
          <w:szCs w:val="32"/>
          <w:rtl/>
        </w:rPr>
        <w:t>ِيمَ﴾</w:t>
      </w:r>
      <w:r w:rsidR="00576E43">
        <w:rPr>
          <w:rStyle w:val="FootnoteReference"/>
          <w:rFonts w:ascii="Traditional Arabic" w:eastAsia="Times New Roman" w:hAnsi="Traditional Arabic" w:cs="Traditional Arabic"/>
          <w:b/>
          <w:bCs/>
          <w:color w:val="538135" w:themeColor="accent6" w:themeShade="BF"/>
          <w:sz w:val="32"/>
          <w:szCs w:val="32"/>
          <w:rtl/>
        </w:rPr>
        <w:footnoteReference w:id="290"/>
      </w:r>
      <w:r w:rsidRPr="001609BB">
        <w:rPr>
          <w:rFonts w:ascii="Adobe Arabic" w:eastAsia="Times New Roman" w:hAnsi="Adobe Arabic" w:cs="Adobe Arabic"/>
          <w:color w:val="000000"/>
          <w:sz w:val="32"/>
          <w:szCs w:val="32"/>
          <w:rtl/>
        </w:rPr>
        <w:t>، حيث إنّ العلَّامة الطباطبائيّ، بعد أن تطرّق لبيان المراد من الآية، نقل بعض الروايات وعلّق عليها، منها الرواية الآتية: «في الفقيه، وتفسير العيّاشيّ، عن الصادق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قال: الصراط المستقيم أمير المؤمنين...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xml:space="preserve">. أقول: وفي هذه المعاني روايات أخر، وهذه الأخبار من قبيل الجري، وعدّ المصداق للآية. واعلم أنّ الجري -وكثيراً ما نستعمله في هذا الكتاب-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اصطلاحٌ مأخوذٌ من قول أئمّة أهل البيت </w:t>
      </w:r>
      <w:r w:rsidR="001609BB" w:rsidRPr="001609BB">
        <w:rPr>
          <w:rFonts w:ascii="Adobe Arabic" w:eastAsia="Times New Roman" w:hAnsi="Adobe Arabic" w:cs="Adobe Arabic"/>
          <w:color w:val="000000"/>
          <w:sz w:val="32"/>
          <w:szCs w:val="32"/>
          <w:rtl/>
        </w:rPr>
        <w:t>(عليهم السلام)</w:t>
      </w:r>
      <w:r w:rsidR="00576E43">
        <w:rPr>
          <w:rStyle w:val="FootnoteReference"/>
          <w:rFonts w:ascii="Adobe Arabic" w:eastAsia="Times New Roman" w:hAnsi="Adobe Arabic" w:cs="Adobe Arabic"/>
          <w:color w:val="000000"/>
          <w:sz w:val="32"/>
          <w:szCs w:val="32"/>
          <w:rtl/>
        </w:rPr>
        <w:footnoteReference w:id="291"/>
      </w:r>
      <w:r w:rsidRPr="001609BB">
        <w:rPr>
          <w:rFonts w:ascii="Adobe Arabic" w:eastAsia="Times New Roman" w:hAnsi="Adobe Arabic" w:cs="Adobe Arabic"/>
          <w:color w:val="000000"/>
          <w:sz w:val="32"/>
          <w:szCs w:val="32"/>
          <w:rtl/>
        </w:rPr>
        <w:t>. ففي هذا المثال، من الواضح أنّ الرواية بيَّنَت المصداق الأتمّ والأكمل لهذه الآية، وهو أمير المؤمنين عليّبن أبي طالب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وإن كان معناها لا ينحصر بهذا المصداق فقط»</w:t>
      </w:r>
      <w:r w:rsidR="00576E43">
        <w:rPr>
          <w:rStyle w:val="FootnoteReference"/>
          <w:rFonts w:ascii="Adobe Arabic" w:eastAsia="Times New Roman" w:hAnsi="Adobe Arabic" w:cs="Adobe Arabic"/>
          <w:color w:val="000000"/>
          <w:sz w:val="32"/>
          <w:szCs w:val="32"/>
          <w:rtl/>
        </w:rPr>
        <w:footnoteReference w:id="292"/>
      </w:r>
      <w:r w:rsidRPr="001609BB">
        <w:rPr>
          <w:rFonts w:ascii="Adobe Arabic" w:eastAsia="Times New Roman" w:hAnsi="Adobe Arabic" w:cs="Adobe Arabic"/>
          <w:color w:val="000000"/>
          <w:sz w:val="32"/>
          <w:szCs w:val="32"/>
          <w:rtl/>
        </w:rPr>
        <w:t>.</w:t>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المثال الثاني: في قوله تعالى: </w:t>
      </w:r>
      <w:r w:rsidRPr="008711A0">
        <w:rPr>
          <w:rFonts w:ascii="Traditional Arabic" w:eastAsia="Times New Roman" w:hAnsi="Traditional Arabic" w:cs="Traditional Arabic"/>
          <w:b/>
          <w:bCs/>
          <w:color w:val="538135" w:themeColor="accent6" w:themeShade="BF"/>
          <w:sz w:val="32"/>
          <w:szCs w:val="32"/>
          <w:rtl/>
        </w:rPr>
        <w:t>﴿إِنَّمَا وَلِيُّكُمُ ٱللَّهُ وَرَسُولُهُ</w:t>
      </w:r>
      <w:r w:rsidRPr="008711A0">
        <w:rPr>
          <w:rFonts w:ascii="Traditional Arabic" w:eastAsia="Times New Roman" w:hAnsi="Traditional Arabic" w:cs="Traditional Arabic" w:hint="cs"/>
          <w:b/>
          <w:bCs/>
          <w:color w:val="538135" w:themeColor="accent6" w:themeShade="BF"/>
          <w:sz w:val="32"/>
          <w:szCs w:val="32"/>
          <w:rtl/>
        </w:rPr>
        <w:t>ۥ</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ءَامَنُواْ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ٱلَّذِينَ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يُقِيمُونَ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ٱلصَّلَوٰةَ</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وَيُؤۡتُونَ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ٱلز</w:t>
      </w:r>
      <w:r w:rsidRPr="008711A0">
        <w:rPr>
          <w:rFonts w:ascii="Traditional Arabic" w:eastAsia="Times New Roman" w:hAnsi="Traditional Arabic" w:cs="Traditional Arabic"/>
          <w:b/>
          <w:bCs/>
          <w:color w:val="538135" w:themeColor="accent6" w:themeShade="BF"/>
          <w:sz w:val="32"/>
          <w:szCs w:val="32"/>
          <w:rtl/>
        </w:rPr>
        <w:t>َّكَوٰةَ وَهُم</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رَٰكِعُونَ﴾</w:t>
      </w:r>
      <w:r w:rsidR="00576E43">
        <w:rPr>
          <w:rStyle w:val="FootnoteReference"/>
          <w:rFonts w:ascii="Traditional Arabic" w:eastAsia="Times New Roman" w:hAnsi="Traditional Arabic" w:cs="Traditional Arabic"/>
          <w:b/>
          <w:bCs/>
          <w:color w:val="538135" w:themeColor="accent6" w:themeShade="BF"/>
          <w:sz w:val="32"/>
          <w:szCs w:val="32"/>
          <w:rtl/>
        </w:rPr>
        <w:footnoteReference w:id="293"/>
      </w:r>
      <w:r w:rsidRPr="001609BB">
        <w:rPr>
          <w:rFonts w:ascii="Adobe Arabic" w:eastAsia="Times New Roman" w:hAnsi="Adobe Arabic" w:cs="Adobe Arabic"/>
          <w:color w:val="000000"/>
          <w:sz w:val="32"/>
          <w:szCs w:val="32"/>
          <w:rtl/>
        </w:rPr>
        <w:t>، يقول العلَّامة الطباطبائيّ: «على أنّ الروايات متكاثرة من طُرُق الشيعة وأهل السنّة، على أنّ الآيتَين نازلتان في أمير المؤمنين عليّ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لَمّا تصدَّق بخاتمه وهو في الصلاة، فالآيتان خاصّتان غيرُ عامّتَين...»</w:t>
      </w:r>
      <w:r w:rsidR="00576E43">
        <w:rPr>
          <w:rStyle w:val="FootnoteReference"/>
          <w:rFonts w:ascii="Adobe Arabic" w:eastAsia="Times New Roman" w:hAnsi="Adobe Arabic" w:cs="Adobe Arabic"/>
          <w:color w:val="000000"/>
          <w:sz w:val="32"/>
          <w:szCs w:val="32"/>
          <w:rtl/>
        </w:rPr>
        <w:footnoteReference w:id="294"/>
      </w:r>
      <w:r w:rsidRPr="001609BB">
        <w:rPr>
          <w:rFonts w:ascii="Adobe Arabic" w:eastAsia="Times New Roman" w:hAnsi="Adobe Arabic" w:cs="Adobe Arabic"/>
          <w:color w:val="000000"/>
          <w:sz w:val="32"/>
          <w:szCs w:val="32"/>
          <w:rtl/>
        </w:rPr>
        <w:t>. ففي هذا المثال، جاءت الروايات لبيان مصداق خاصّ ومحصور بأمير المؤمنين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لا ينطبق على غيره، بخلاف المثال الأوّل الذي أوضح المصداق الأكمل والأتمّ.</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وعبر التتبُّع في كلماته المتفرّقة، يتّضح عدم انحصار استفادته في هذا المجال، على الأخبار المقطوع بصدورها عن المعصومين </w:t>
      </w:r>
      <w:r w:rsidR="001609BB" w:rsidRPr="001609BB">
        <w:rPr>
          <w:rFonts w:ascii="Adobe Arabic" w:eastAsia="Times New Roman" w:hAnsi="Adobe Arabic" w:cs="Adobe Arabic"/>
          <w:color w:val="000000"/>
          <w:sz w:val="32"/>
          <w:szCs w:val="32"/>
          <w:rtl/>
        </w:rPr>
        <w:t>(عليهم السلام)</w:t>
      </w:r>
      <w:r w:rsidRPr="001609BB">
        <w:rPr>
          <w:rFonts w:ascii="Adobe Arabic" w:eastAsia="Times New Roman" w:hAnsi="Adobe Arabic" w:cs="Adobe Arabic"/>
          <w:color w:val="000000"/>
          <w:sz w:val="32"/>
          <w:szCs w:val="32"/>
          <w:rtl/>
        </w:rPr>
        <w:t>.</w:t>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t>ثالثًا: دور السنّة في بيان تأويل الآيات</w:t>
      </w:r>
    </w:p>
    <w:p w:rsidR="00932FF5"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مثال ذلك في قوله تعالى: </w:t>
      </w:r>
      <w:r w:rsidRPr="008711A0">
        <w:rPr>
          <w:rFonts w:ascii="Traditional Arabic" w:eastAsia="Times New Roman" w:hAnsi="Traditional Arabic" w:cs="Traditional Arabic"/>
          <w:b/>
          <w:bCs/>
          <w:color w:val="538135" w:themeColor="accent6" w:themeShade="BF"/>
          <w:sz w:val="32"/>
          <w:szCs w:val="32"/>
          <w:rtl/>
        </w:rPr>
        <w:t>﴿مَن قَتَلَ نَف</w:t>
      </w:r>
      <w:r w:rsidRPr="008711A0">
        <w:rPr>
          <w:rFonts w:ascii="Traditional Arabic" w:eastAsia="Times New Roman" w:hAnsi="Traditional Arabic" w:cs="Traditional Arabic" w:hint="cs"/>
          <w:b/>
          <w:bCs/>
          <w:color w:val="538135" w:themeColor="accent6" w:themeShade="BF"/>
          <w:sz w:val="32"/>
          <w:szCs w:val="32"/>
          <w:rtl/>
        </w:rPr>
        <w:t>ۡسَۢا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بِغَيۡرِ</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نَفۡسٍ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أَوۡ</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فَسَاد</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ٱلۡأَرۡضِ</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فَكَأَنَّمَا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قَتَلَ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جَمِيعا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أَحۡيَاهَا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فَكَأَنَّمَآ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جَمِيعاۚ﴾</w:t>
      </w:r>
      <w:r w:rsidR="00576E43">
        <w:rPr>
          <w:rStyle w:val="FootnoteReference"/>
          <w:rFonts w:ascii="Traditional Arabic" w:eastAsia="Times New Roman" w:hAnsi="Traditional Arabic" w:cs="Traditional Arabic"/>
          <w:b/>
          <w:bCs/>
          <w:color w:val="538135" w:themeColor="accent6" w:themeShade="BF"/>
          <w:sz w:val="32"/>
          <w:szCs w:val="32"/>
          <w:rtl/>
        </w:rPr>
        <w:footnoteReference w:id="295"/>
      </w:r>
      <w:r w:rsidRPr="001609BB">
        <w:rPr>
          <w:rFonts w:ascii="Adobe Arabic" w:eastAsia="Times New Roman" w:hAnsi="Adobe Arabic" w:cs="Adobe Arabic"/>
          <w:color w:val="000000"/>
          <w:sz w:val="32"/>
          <w:szCs w:val="32"/>
          <w:rtl/>
        </w:rPr>
        <w:t>، حيث يقول العلَّامة الطباطبائيّ: «وفي الكافي، بإسناده عن فضيل بن يسار، قال: قلتُ لأبي جعفر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قول الله عزَّ وجلَّ في كتابه: </w:t>
      </w:r>
      <w:r w:rsidRPr="008711A0">
        <w:rPr>
          <w:rFonts w:ascii="Traditional Arabic" w:eastAsia="Times New Roman" w:hAnsi="Traditional Arabic" w:cs="Traditional Arabic"/>
          <w:b/>
          <w:bCs/>
          <w:color w:val="538135" w:themeColor="accent6" w:themeShade="BF"/>
          <w:sz w:val="32"/>
          <w:szCs w:val="32"/>
          <w:rtl/>
        </w:rPr>
        <w:t>﴿وَمَن</w:t>
      </w:r>
      <w:r w:rsidRPr="008711A0">
        <w:rPr>
          <w:rFonts w:ascii="Traditional Arabic" w:eastAsia="Times New Roman" w:hAnsi="Traditional Arabic" w:cs="Traditional Arabic" w:hint="cs"/>
          <w:b/>
          <w:bCs/>
          <w:color w:val="538135" w:themeColor="accent6" w:themeShade="BF"/>
          <w:sz w:val="32"/>
          <w:szCs w:val="32"/>
          <w:rtl/>
        </w:rPr>
        <w:t>ۡ</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أَحۡيَاه</w:t>
      </w:r>
      <w:r w:rsidRPr="008711A0">
        <w:rPr>
          <w:rFonts w:ascii="Traditional Arabic" w:eastAsia="Times New Roman" w:hAnsi="Traditional Arabic" w:cs="Traditional Arabic"/>
          <w:b/>
          <w:bCs/>
          <w:color w:val="538135" w:themeColor="accent6" w:themeShade="BF"/>
          <w:sz w:val="32"/>
          <w:szCs w:val="32"/>
          <w:rtl/>
        </w:rPr>
        <w:t>َا فَكَأَنَّمَآ أَح</w:t>
      </w:r>
      <w:r w:rsidRPr="008711A0">
        <w:rPr>
          <w:rFonts w:ascii="Traditional Arabic" w:eastAsia="Times New Roman" w:hAnsi="Traditional Arabic" w:cs="Traditional Arabic" w:hint="cs"/>
          <w:b/>
          <w:bCs/>
          <w:color w:val="538135" w:themeColor="accent6" w:themeShade="BF"/>
          <w:sz w:val="32"/>
          <w:szCs w:val="32"/>
          <w:rtl/>
        </w:rPr>
        <w:t>ۡيَا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ٱلنَّاسَ</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جَمِيعاۚ﴾</w:t>
      </w:r>
      <w:r w:rsidRPr="001609BB">
        <w:rPr>
          <w:rFonts w:ascii="Adobe Arabic" w:eastAsia="Times New Roman" w:hAnsi="Adobe Arabic" w:cs="Adobe Arabic" w:hint="cs"/>
          <w:color w:val="000000"/>
          <w:sz w:val="32"/>
          <w:szCs w:val="32"/>
          <w:rtl/>
        </w:rPr>
        <w:t>، قال</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مِنْ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حَرَقٍ</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أو</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غَرَقٍ</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قلتُ</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أخرجَها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من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ضلالٍ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إلى</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هدى؟</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قال</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ذلك</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تأويلُها</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الأعظم</w:t>
      </w:r>
      <w:r w:rsidRPr="001609BB">
        <w:rPr>
          <w:rFonts w:ascii="Adobe Arabic" w:eastAsia="Times New Roman" w:hAnsi="Adobe Arabic" w:cs="Adobe Arabic"/>
          <w:color w:val="000000"/>
          <w:sz w:val="32"/>
          <w:szCs w:val="32"/>
          <w:rtl/>
        </w:rPr>
        <w:t>:</w:t>
      </w:r>
      <w:r w:rsidRPr="001609BB">
        <w:rPr>
          <w:rFonts w:ascii="Adobe Arabic" w:eastAsia="Times New Roman" w:hAnsi="Adobe Arabic" w:cs="Adobe Arabic" w:hint="cs"/>
          <w:color w:val="000000"/>
          <w:sz w:val="32"/>
          <w:szCs w:val="32"/>
          <w:rtl/>
        </w:rPr>
        <w:t> أقول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ورواه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الشيخ</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في</w:t>
      </w:r>
      <w:r w:rsidRPr="001609BB">
        <w:rPr>
          <w:rFonts w:ascii="Adobe Arabic" w:eastAsia="Times New Roman" w:hAnsi="Adobe Arabic" w:cs="Adobe Arabic"/>
          <w:color w:val="000000"/>
          <w:sz w:val="32"/>
          <w:szCs w:val="32"/>
          <w:rtl/>
        </w:rPr>
        <w:t xml:space="preserve">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576E4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hint="cs"/>
          <w:color w:val="000000"/>
          <w:sz w:val="32"/>
          <w:szCs w:val="32"/>
          <w:rtl/>
        </w:rPr>
        <w:lastRenderedPageBreak/>
        <w:t>أماليه</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والبرقيّ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في</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المحاسن،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عن</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فضيل،</w:t>
      </w:r>
      <w:r w:rsidRPr="001609BB">
        <w:rPr>
          <w:rFonts w:ascii="Adobe Arabic" w:eastAsia="Times New Roman" w:hAnsi="Adobe Arabic" w:cs="Adobe Arabic"/>
          <w:color w:val="000000"/>
          <w:sz w:val="32"/>
          <w:szCs w:val="32"/>
          <w:rtl/>
        </w:rPr>
        <w:t xml:space="preserve"> </w:t>
      </w:r>
      <w:r w:rsidRPr="001609BB">
        <w:rPr>
          <w:rFonts w:ascii="Adobe Arabic" w:eastAsia="Times New Roman" w:hAnsi="Adobe Arabic" w:cs="Adobe Arabic" w:hint="cs"/>
          <w:color w:val="000000"/>
          <w:sz w:val="32"/>
          <w:szCs w:val="32"/>
          <w:rtl/>
        </w:rPr>
        <w:t>عنه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ورُوِيَ الحديث عن سماعة وحمران، عن أبي عبد الله </w:t>
      </w:r>
      <w:r w:rsidR="005077DC">
        <w:rPr>
          <w:rFonts w:ascii="Adobe Arabic" w:eastAsia="Times New Roman" w:hAnsi="Adobe Arabic" w:cs="Adobe Arabic"/>
          <w:color w:val="000000"/>
          <w:sz w:val="32"/>
          <w:szCs w:val="32"/>
          <w:rtl/>
        </w:rPr>
        <w:t>(عليه السلام)</w:t>
      </w:r>
      <w:r w:rsidRPr="001609BB">
        <w:rPr>
          <w:rFonts w:ascii="Adobe Arabic" w:eastAsia="Times New Roman" w:hAnsi="Adobe Arabic" w:cs="Adobe Arabic"/>
          <w:color w:val="000000"/>
          <w:sz w:val="32"/>
          <w:szCs w:val="32"/>
          <w:rtl/>
        </w:rPr>
        <w:t>. والمراد بكون الإنقاذ من الضلالة تأويلًا أعظم للآية، كونُه تفسيرًا أدقّ لها، والتأويل كثيرًا ما كان يُستَعْمَل في صدر الإسلام مرادِفًا للتفسير...»</w:t>
      </w:r>
      <w:r w:rsidR="00576E43">
        <w:rPr>
          <w:rStyle w:val="FootnoteReference"/>
          <w:rFonts w:ascii="Adobe Arabic" w:eastAsia="Times New Roman" w:hAnsi="Adobe Arabic" w:cs="Adobe Arabic"/>
          <w:color w:val="000000"/>
          <w:sz w:val="32"/>
          <w:szCs w:val="32"/>
          <w:rtl/>
        </w:rPr>
        <w:footnoteReference w:id="296"/>
      </w:r>
      <w:hyperlink r:id="rId16" w:anchor="footnote-078" w:history="1"/>
      <w:r w:rsidRPr="001609BB">
        <w:rPr>
          <w:rFonts w:ascii="Adobe Arabic" w:eastAsia="Times New Roman" w:hAnsi="Adobe Arabic" w:cs="Adobe Arabic"/>
          <w:color w:val="000000"/>
          <w:sz w:val="32"/>
          <w:szCs w:val="32"/>
          <w:rtl/>
        </w:rPr>
        <w:t>.</w:t>
      </w:r>
    </w:p>
    <w:p w:rsidR="00BD4C4D" w:rsidRPr="00465CD4" w:rsidRDefault="00BD4C4D" w:rsidP="00465CD4">
      <w:pPr>
        <w:pStyle w:val="Heading2"/>
        <w:bidi/>
        <w:jc w:val="both"/>
        <w:rPr>
          <w:rFonts w:ascii="Adobe Arabic" w:eastAsia="Times New Roman" w:hAnsi="Adobe Arabic" w:cs="Adobe Arabic"/>
          <w:b/>
          <w:bCs/>
          <w:color w:val="996633"/>
          <w:sz w:val="36"/>
          <w:szCs w:val="36"/>
          <w:rtl/>
        </w:rPr>
      </w:pPr>
      <w:bookmarkStart w:id="59" w:name="_Toc155869555"/>
      <w:r w:rsidRPr="00465CD4">
        <w:rPr>
          <w:rFonts w:ascii="Adobe Arabic" w:eastAsia="Times New Roman" w:hAnsi="Adobe Arabic" w:cs="Adobe Arabic"/>
          <w:b/>
          <w:bCs/>
          <w:color w:val="996633"/>
          <w:sz w:val="36"/>
          <w:szCs w:val="36"/>
          <w:rtl/>
        </w:rPr>
        <w:t>تنبيه</w:t>
      </w:r>
      <w:bookmarkEnd w:id="59"/>
    </w:p>
    <w:p w:rsidR="00932FF5" w:rsidRDefault="00BD4C4D" w:rsidP="007062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في ختام هذا البحث يلزم التنبيه على أمر، وهو أنّ العلَّامة، وعلى الرغم من عدم قبوله لحجّيّة خبرِ الواحد -غير المقطوع بصدوره- في أصول الدين</w:t>
      </w:r>
      <w:r w:rsidR="00706204">
        <w:rPr>
          <w:rStyle w:val="FootnoteReference"/>
          <w:rFonts w:ascii="Adobe Arabic" w:eastAsia="Times New Roman" w:hAnsi="Adobe Arabic" w:cs="Adobe Arabic"/>
          <w:color w:val="000000"/>
          <w:sz w:val="32"/>
          <w:szCs w:val="32"/>
          <w:rtl/>
        </w:rPr>
        <w:footnoteReference w:id="297"/>
      </w:r>
      <w:r w:rsidRPr="001609BB">
        <w:rPr>
          <w:rFonts w:ascii="Adobe Arabic" w:eastAsia="Times New Roman" w:hAnsi="Adobe Arabic" w:cs="Adobe Arabic"/>
          <w:color w:val="000000"/>
          <w:sz w:val="32"/>
          <w:szCs w:val="32"/>
          <w:rtl/>
        </w:rPr>
        <w:t> -كالتوحيد، والنبوة، والمعاد- وفي التفسير، سوى ما استثنيناه من موارد ونظائرها</w:t>
      </w:r>
      <w:r w:rsidR="00706204">
        <w:rPr>
          <w:rStyle w:val="FootnoteReference"/>
          <w:rFonts w:ascii="Adobe Arabic" w:eastAsia="Times New Roman" w:hAnsi="Adobe Arabic" w:cs="Adobe Arabic"/>
          <w:color w:val="000000"/>
          <w:sz w:val="32"/>
          <w:szCs w:val="32"/>
          <w:rtl/>
        </w:rPr>
        <w:footnoteReference w:id="298"/>
      </w:r>
      <w:r w:rsidRPr="001609BB">
        <w:rPr>
          <w:rFonts w:ascii="Adobe Arabic" w:eastAsia="Times New Roman" w:hAnsi="Adobe Arabic" w:cs="Adobe Arabic"/>
          <w:color w:val="000000"/>
          <w:sz w:val="32"/>
          <w:szCs w:val="32"/>
          <w:rtl/>
        </w:rPr>
        <w:t>، إلّا أنّه في المقابل، لم يكن متساهلًا في ردّ الأخبار ما لم تكن منافيةً لأصل عقائديّ أو ظهور قرآنيّ. قال </w:t>
      </w:r>
      <w:r w:rsidR="00932FF5">
        <w:rPr>
          <w:rFonts w:ascii="Adobe Arabic" w:eastAsia="Times New Roman" w:hAnsi="Adobe Arabic" w:cs="Adobe Arabic"/>
          <w:color w:val="000000"/>
          <w:sz w:val="32"/>
          <w:szCs w:val="32"/>
          <w:rtl/>
        </w:rPr>
        <w:t>(رحمه الله)</w:t>
      </w:r>
      <w:r w:rsidRPr="001609BB">
        <w:rPr>
          <w:rFonts w:ascii="Adobe Arabic" w:eastAsia="Times New Roman" w:hAnsi="Adobe Arabic" w:cs="Adobe Arabic"/>
          <w:color w:val="000000"/>
          <w:sz w:val="32"/>
          <w:szCs w:val="32"/>
          <w:rtl/>
        </w:rPr>
        <w:t>في ذيل بحثه الروائيّ فيما يرتبط بقوله تعالى: </w:t>
      </w:r>
      <w:r w:rsidRPr="008711A0">
        <w:rPr>
          <w:rFonts w:ascii="Traditional Arabic" w:eastAsia="Times New Roman" w:hAnsi="Traditional Arabic" w:cs="Traditional Arabic"/>
          <w:b/>
          <w:bCs/>
          <w:color w:val="538135" w:themeColor="accent6" w:themeShade="BF"/>
          <w:sz w:val="32"/>
          <w:szCs w:val="32"/>
          <w:rtl/>
        </w:rPr>
        <w:t>﴿قَالَ يَٰٓـَٔادَمُ أَن</w:t>
      </w:r>
      <w:r w:rsidRPr="008711A0">
        <w:rPr>
          <w:rFonts w:ascii="Traditional Arabic" w:eastAsia="Times New Roman" w:hAnsi="Traditional Arabic" w:cs="Traditional Arabic" w:hint="cs"/>
          <w:b/>
          <w:bCs/>
          <w:color w:val="538135" w:themeColor="accent6" w:themeShade="BF"/>
          <w:sz w:val="32"/>
          <w:szCs w:val="32"/>
          <w:rtl/>
        </w:rPr>
        <w:t>ۢبِئۡهُم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بِأَسۡمَآئِهِمۡۖ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فَلَمَّآ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أَنۢبَأَهُم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بِأَسۡمَآئِهِمۡ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قَالَ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أَقُل</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لَّكُمۡ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إِنِّيٓ</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أَعۡلَمُ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غَيۡبَ</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ٱلسَّمَٰوَٰتِ</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وَٱلۡأَرۡضِ</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وَأَعۡلَ</w:t>
      </w:r>
      <w:r w:rsidRPr="008711A0">
        <w:rPr>
          <w:rFonts w:ascii="Traditional Arabic" w:eastAsia="Times New Roman" w:hAnsi="Traditional Arabic" w:cs="Traditional Arabic"/>
          <w:b/>
          <w:bCs/>
          <w:color w:val="538135" w:themeColor="accent6" w:themeShade="BF"/>
          <w:sz w:val="32"/>
          <w:szCs w:val="32"/>
          <w:rtl/>
        </w:rPr>
        <w:t>مُ مَا تُب</w:t>
      </w:r>
      <w:r w:rsidRPr="008711A0">
        <w:rPr>
          <w:rFonts w:ascii="Traditional Arabic" w:eastAsia="Times New Roman" w:hAnsi="Traditional Arabic" w:cs="Traditional Arabic" w:hint="cs"/>
          <w:b/>
          <w:bCs/>
          <w:color w:val="538135" w:themeColor="accent6" w:themeShade="BF"/>
          <w:sz w:val="32"/>
          <w:szCs w:val="32"/>
          <w:rtl/>
        </w:rPr>
        <w:t>ۡدُونَ</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وَمَا</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كُنتُمۡ</w:t>
      </w:r>
      <w:r w:rsidRPr="008711A0">
        <w:rPr>
          <w:rFonts w:ascii="Traditional Arabic" w:eastAsia="Times New Roman" w:hAnsi="Traditional Arabic" w:cs="Traditional Arabic"/>
          <w:b/>
          <w:bCs/>
          <w:color w:val="538135" w:themeColor="accent6" w:themeShade="BF"/>
          <w:sz w:val="32"/>
          <w:szCs w:val="32"/>
          <w:rtl/>
        </w:rPr>
        <w:t xml:space="preserve"> </w:t>
      </w:r>
      <w:r w:rsidRPr="008711A0">
        <w:rPr>
          <w:rFonts w:ascii="Traditional Arabic" w:eastAsia="Times New Roman" w:hAnsi="Traditional Arabic" w:cs="Traditional Arabic" w:hint="cs"/>
          <w:b/>
          <w:bCs/>
          <w:color w:val="538135" w:themeColor="accent6" w:themeShade="BF"/>
          <w:sz w:val="32"/>
          <w:szCs w:val="32"/>
          <w:rtl/>
        </w:rPr>
        <w:t>تَكۡتُمُونَ﴾</w:t>
      </w:r>
      <w:r w:rsidR="00706204">
        <w:rPr>
          <w:rStyle w:val="FootnoteReference"/>
          <w:rFonts w:ascii="Traditional Arabic" w:eastAsia="Times New Roman" w:hAnsi="Traditional Arabic" w:cs="Traditional Arabic"/>
          <w:b/>
          <w:bCs/>
          <w:color w:val="538135" w:themeColor="accent6" w:themeShade="BF"/>
          <w:sz w:val="32"/>
          <w:szCs w:val="32"/>
          <w:rtl/>
        </w:rPr>
        <w:footnoteReference w:id="299"/>
      </w:r>
      <w:r w:rsidRPr="001609BB">
        <w:rPr>
          <w:rFonts w:ascii="Adobe Arabic" w:eastAsia="Times New Roman" w:hAnsi="Adobe Arabic" w:cs="Adobe Arabic"/>
          <w:color w:val="000000"/>
          <w:sz w:val="32"/>
          <w:szCs w:val="32"/>
          <w:rtl/>
        </w:rPr>
        <w:t>، «أقول: والأخبار في هذه المعاني كثيرة متظافرة، وأنت إذا أجلت نظرة التأمّل والإمكان فيها، وجدتها شواهد على ما قدّمناه، وسيجيء شطرٌ من الكلام في بعضها. وإيّاك أن ترمي أمثال هذه الأحاديث الشريفة المأثورة عن معادن العلم ومنابع الحكمة، بأنّها من اختلاقات المتصوّفة وأوهامهم! فللخلقة أسرار، وهوذا العلماء من طبقات أقوام الإنسان، لا يألون جهداً في البحث عن أسرار الطبيعة، منذ أخذ البشر في الانتشار، وكلّما لاح لهم معلومٌ واحد، بان لهم مجاهيل كثيرة، وهي عالم الطبيعة، أَضْيَق العوالم وأخسّها، فما ظنّك بما ورائها، وهي عوالم النور والسعة؟!»</w:t>
      </w:r>
      <w:r w:rsidR="00706204">
        <w:rPr>
          <w:rStyle w:val="FootnoteReference"/>
          <w:rFonts w:ascii="Adobe Arabic" w:eastAsia="Times New Roman" w:hAnsi="Adobe Arabic" w:cs="Adobe Arabic"/>
          <w:color w:val="000000"/>
          <w:sz w:val="32"/>
          <w:szCs w:val="32"/>
          <w:rtl/>
        </w:rPr>
        <w:footnoteReference w:id="300"/>
      </w:r>
      <w:r w:rsidRPr="001609BB">
        <w:rPr>
          <w:rFonts w:ascii="Adobe Arabic" w:eastAsia="Times New Roman" w:hAnsi="Adobe Arabic" w:cs="Adobe Arabic"/>
          <w:color w:val="000000"/>
          <w:sz w:val="32"/>
          <w:szCs w:val="32"/>
          <w:rtl/>
        </w:rPr>
        <w:t>.</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E6F1F" w:rsidRDefault="00FE6F1F">
      <w:pPr>
        <w:rPr>
          <w:rFonts w:ascii="Adobe Arabic" w:eastAsia="Times New Roman" w:hAnsi="Adobe Arabic" w:cs="Adobe Arabic"/>
          <w:b/>
          <w:bCs/>
          <w:color w:val="538135" w:themeColor="accent6" w:themeShade="BF"/>
          <w:sz w:val="40"/>
          <w:szCs w:val="40"/>
          <w:rtl/>
        </w:rPr>
      </w:pPr>
      <w:r>
        <w:rPr>
          <w:rFonts w:ascii="Adobe Arabic" w:eastAsia="Times New Roman" w:hAnsi="Adobe Arabic" w:cs="Adobe Arabic"/>
          <w:b/>
          <w:bCs/>
          <w:color w:val="538135" w:themeColor="accent6" w:themeShade="BF"/>
          <w:sz w:val="40"/>
          <w:szCs w:val="40"/>
          <w:rtl/>
        </w:rPr>
        <w:br w:type="page"/>
      </w:r>
    </w:p>
    <w:p w:rsidR="00BD4C4D" w:rsidRPr="000D4298" w:rsidRDefault="00BD4C4D" w:rsidP="00830474">
      <w:pPr>
        <w:pStyle w:val="Heading1"/>
        <w:bidi/>
        <w:jc w:val="center"/>
        <w:rPr>
          <w:rFonts w:ascii="Adobe Arabic" w:eastAsia="Times New Roman" w:hAnsi="Adobe Arabic" w:cs="Adobe Arabic"/>
          <w:b/>
          <w:bCs/>
          <w:color w:val="538135" w:themeColor="accent6" w:themeShade="BF"/>
          <w:sz w:val="40"/>
          <w:szCs w:val="40"/>
          <w:rtl/>
        </w:rPr>
      </w:pPr>
      <w:bookmarkStart w:id="60" w:name="_Toc155869556"/>
      <w:r w:rsidRPr="000D4298">
        <w:rPr>
          <w:rFonts w:ascii="Adobe Arabic" w:eastAsia="Times New Roman" w:hAnsi="Adobe Arabic" w:cs="Adobe Arabic"/>
          <w:b/>
          <w:bCs/>
          <w:color w:val="538135" w:themeColor="accent6" w:themeShade="BF"/>
          <w:sz w:val="40"/>
          <w:szCs w:val="40"/>
          <w:rtl/>
        </w:rPr>
        <w:lastRenderedPageBreak/>
        <w:t>ملحق 2</w:t>
      </w:r>
      <w:r w:rsidR="000D4298">
        <w:rPr>
          <w:rFonts w:ascii="Adobe Arabic" w:eastAsia="Times New Roman" w:hAnsi="Adobe Arabic" w:cs="Adobe Arabic" w:hint="cs"/>
          <w:b/>
          <w:bCs/>
          <w:color w:val="538135" w:themeColor="accent6" w:themeShade="BF"/>
          <w:sz w:val="40"/>
          <w:szCs w:val="40"/>
          <w:rtl/>
        </w:rPr>
        <w:t xml:space="preserve">: </w:t>
      </w:r>
      <w:r w:rsidRPr="000D4298">
        <w:rPr>
          <w:rFonts w:ascii="Adobe Arabic" w:eastAsia="Times New Roman" w:hAnsi="Adobe Arabic" w:cs="Adobe Arabic"/>
          <w:b/>
          <w:bCs/>
          <w:color w:val="538135" w:themeColor="accent6" w:themeShade="BF"/>
          <w:sz w:val="40"/>
          <w:szCs w:val="40"/>
          <w:rtl/>
        </w:rPr>
        <w:t>في بعض ألفاظ حديث الثقلَين</w:t>
      </w:r>
      <w:bookmarkEnd w:id="60"/>
    </w:p>
    <w:p w:rsidR="00FE6F1F" w:rsidRPr="00FE6F1F" w:rsidRDefault="00FE6F1F" w:rsidP="00FE6F1F">
      <w:pPr>
        <w:bidi/>
        <w:spacing w:before="100" w:beforeAutospacing="1" w:after="100" w:afterAutospacing="1" w:line="240" w:lineRule="auto"/>
        <w:jc w:val="both"/>
        <w:rPr>
          <w:rFonts w:ascii="Adobe Arabic" w:eastAsia="Times New Roman" w:hAnsi="Adobe Arabic" w:cs="Adobe Arabic"/>
          <w:b/>
          <w:bCs/>
          <w:color w:val="996633"/>
          <w:sz w:val="36"/>
          <w:szCs w:val="36"/>
          <w:rtl/>
        </w:rPr>
      </w:pPr>
      <w:r w:rsidRPr="00FE6F1F">
        <w:rPr>
          <w:rFonts w:ascii="Adobe Arabic" w:eastAsia="Times New Roman" w:hAnsi="Adobe Arabic" w:cs="Adobe Arabic" w:hint="cs"/>
          <w:b/>
          <w:bCs/>
          <w:color w:val="996633"/>
          <w:sz w:val="36"/>
          <w:szCs w:val="36"/>
          <w:rtl/>
        </w:rPr>
        <w:t>على المتعلم مع نهاية هذا الدرس أن:</w:t>
      </w:r>
    </w:p>
    <w:p w:rsidR="00BD4C4D" w:rsidRPr="001609BB" w:rsidRDefault="00BD4C4D" w:rsidP="001609B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 يطلع على الألفاظ المتقاربة لحديث الثقلين الذي روي في مصادر المسلمين؛ شيعة وسنّة.</w:t>
      </w:r>
    </w:p>
    <w:p w:rsidR="00FE6F1F" w:rsidRDefault="00FE6F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E6F1F" w:rsidRDefault="00FE6F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BD4C4D" w:rsidRPr="008103F8" w:rsidRDefault="00BD4C4D" w:rsidP="001609B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03F8">
        <w:rPr>
          <w:rFonts w:ascii="Adobe Arabic" w:eastAsia="Times New Roman" w:hAnsi="Adobe Arabic" w:cs="Adobe Arabic"/>
          <w:b/>
          <w:bCs/>
          <w:color w:val="000000"/>
          <w:sz w:val="32"/>
          <w:szCs w:val="32"/>
          <w:rtl/>
        </w:rPr>
        <w:lastRenderedPageBreak/>
        <w:t>رُوِيَ حديث الثقلين بألفاظ عديدة متقاربة، تؤدّي –بمعظمها- مضمونًا واحدًا، نقتصر منها على الآتي:</w:t>
      </w:r>
    </w:p>
    <w:p w:rsidR="00932FF5" w:rsidRDefault="00BD4C4D" w:rsidP="007062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t>«إنّي تارك</w:t>
      </w:r>
      <w:r w:rsidR="00706204">
        <w:rPr>
          <w:rStyle w:val="FootnoteReference"/>
          <w:rFonts w:ascii="Adobe Arabic" w:eastAsia="Times New Roman" w:hAnsi="Adobe Arabic" w:cs="Adobe Arabic"/>
          <w:color w:val="000000"/>
          <w:sz w:val="32"/>
          <w:szCs w:val="32"/>
          <w:rtl/>
        </w:rPr>
        <w:footnoteReference w:id="301"/>
      </w:r>
      <w:r w:rsidRPr="001609BB">
        <w:rPr>
          <w:rFonts w:ascii="Adobe Arabic" w:eastAsia="Times New Roman" w:hAnsi="Adobe Arabic" w:cs="Adobe Arabic"/>
          <w:color w:val="000000"/>
          <w:sz w:val="32"/>
          <w:szCs w:val="32"/>
          <w:rtl/>
        </w:rPr>
        <w:t>: (تركت</w:t>
      </w:r>
      <w:r w:rsidR="00706204">
        <w:rPr>
          <w:rStyle w:val="FootnoteReference"/>
          <w:rFonts w:ascii="Adobe Arabic" w:eastAsia="Times New Roman" w:hAnsi="Adobe Arabic" w:cs="Adobe Arabic"/>
          <w:color w:val="000000"/>
          <w:sz w:val="32"/>
          <w:szCs w:val="32"/>
          <w:rtl/>
        </w:rPr>
        <w:footnoteReference w:id="302"/>
      </w:r>
      <w:r w:rsidRPr="001609BB">
        <w:rPr>
          <w:rFonts w:ascii="Adobe Arabic" w:eastAsia="Times New Roman" w:hAnsi="Adobe Arabic" w:cs="Adobe Arabic"/>
          <w:color w:val="000000"/>
          <w:sz w:val="32"/>
          <w:szCs w:val="32"/>
          <w:rtl/>
        </w:rPr>
        <w:t>/ قد تركت</w:t>
      </w:r>
      <w:r w:rsidR="00706204">
        <w:rPr>
          <w:rStyle w:val="FootnoteReference"/>
          <w:rFonts w:ascii="Adobe Arabic" w:eastAsia="Times New Roman" w:hAnsi="Adobe Arabic" w:cs="Adobe Arabic"/>
          <w:color w:val="000000"/>
          <w:sz w:val="32"/>
          <w:szCs w:val="32"/>
          <w:rtl/>
        </w:rPr>
        <w:footnoteReference w:id="303"/>
      </w:r>
      <w:r w:rsidRPr="001609BB">
        <w:rPr>
          <w:rFonts w:ascii="Adobe Arabic" w:eastAsia="Times New Roman" w:hAnsi="Adobe Arabic" w:cs="Adobe Arabic"/>
          <w:color w:val="000000"/>
          <w:sz w:val="32"/>
          <w:szCs w:val="32"/>
          <w:rtl/>
        </w:rPr>
        <w:t>/ خلّفت</w:t>
      </w:r>
      <w:r w:rsidR="00706204">
        <w:rPr>
          <w:rStyle w:val="FootnoteReference"/>
          <w:rFonts w:ascii="Adobe Arabic" w:eastAsia="Times New Roman" w:hAnsi="Adobe Arabic" w:cs="Adobe Arabic"/>
          <w:color w:val="000000"/>
          <w:sz w:val="32"/>
          <w:szCs w:val="32"/>
          <w:rtl/>
        </w:rPr>
        <w:footnoteReference w:id="304"/>
      </w:r>
      <w:r w:rsidRPr="001609BB">
        <w:rPr>
          <w:rFonts w:ascii="Adobe Arabic" w:eastAsia="Times New Roman" w:hAnsi="Adobe Arabic" w:cs="Adobe Arabic"/>
          <w:color w:val="000000"/>
          <w:sz w:val="32"/>
          <w:szCs w:val="32"/>
          <w:rtl/>
        </w:rPr>
        <w:t>/ قد خلّفت</w:t>
      </w:r>
      <w:r w:rsidR="00706204">
        <w:rPr>
          <w:rStyle w:val="FootnoteReference"/>
          <w:rFonts w:ascii="Adobe Arabic" w:eastAsia="Times New Roman" w:hAnsi="Adobe Arabic" w:cs="Adobe Arabic"/>
          <w:color w:val="000000"/>
          <w:sz w:val="32"/>
          <w:szCs w:val="32"/>
          <w:rtl/>
        </w:rPr>
        <w:footnoteReference w:id="305"/>
      </w:r>
      <w:r w:rsidRPr="001609BB">
        <w:rPr>
          <w:rFonts w:ascii="Adobe Arabic" w:eastAsia="Times New Roman" w:hAnsi="Adobe Arabic" w:cs="Adobe Arabic"/>
          <w:color w:val="000000"/>
          <w:sz w:val="32"/>
          <w:szCs w:val="32"/>
          <w:rtl/>
        </w:rPr>
        <w:t>/ مخلّف</w:t>
      </w:r>
      <w:r w:rsidR="00706204">
        <w:rPr>
          <w:rStyle w:val="FootnoteReference"/>
          <w:rFonts w:ascii="Adobe Arabic" w:eastAsia="Times New Roman" w:hAnsi="Adobe Arabic" w:cs="Adobe Arabic"/>
          <w:color w:val="000000"/>
          <w:sz w:val="32"/>
          <w:szCs w:val="32"/>
          <w:rtl/>
        </w:rPr>
        <w:footnoteReference w:id="306"/>
      </w:r>
      <w:r w:rsidRPr="001609BB">
        <w:rPr>
          <w:rFonts w:ascii="Adobe Arabic" w:eastAsia="Times New Roman" w:hAnsi="Adobe Arabic" w:cs="Adobe Arabic"/>
          <w:color w:val="000000"/>
          <w:sz w:val="32"/>
          <w:szCs w:val="32"/>
          <w:rtl/>
        </w:rPr>
        <w:t> فيكم الثقلَين (+خليفتَيَّ</w:t>
      </w:r>
      <w:r w:rsidR="00706204">
        <w:rPr>
          <w:rStyle w:val="FootnoteReference"/>
          <w:rFonts w:ascii="Adobe Arabic" w:eastAsia="Times New Roman" w:hAnsi="Adobe Arabic" w:cs="Adobe Arabic"/>
          <w:color w:val="000000"/>
          <w:sz w:val="32"/>
          <w:szCs w:val="32"/>
          <w:rtl/>
        </w:rPr>
        <w:footnoteReference w:id="307"/>
      </w:r>
      <w:r w:rsidRPr="001609BB">
        <w:rPr>
          <w:rFonts w:ascii="Adobe Arabic" w:eastAsia="Times New Roman" w:hAnsi="Adobe Arabic" w:cs="Adobe Arabic"/>
          <w:color w:val="000000"/>
          <w:sz w:val="32"/>
          <w:szCs w:val="32"/>
          <w:rtl/>
        </w:rPr>
        <w:t>) (ثقلَين</w:t>
      </w:r>
      <w:r w:rsidR="00706204">
        <w:rPr>
          <w:rStyle w:val="FootnoteReference"/>
          <w:rFonts w:ascii="Adobe Arabic" w:eastAsia="Times New Roman" w:hAnsi="Adobe Arabic" w:cs="Adobe Arabic"/>
          <w:color w:val="000000"/>
          <w:sz w:val="32"/>
          <w:szCs w:val="32"/>
          <w:rtl/>
        </w:rPr>
        <w:footnoteReference w:id="308"/>
      </w:r>
      <w:r w:rsidRPr="001609BB">
        <w:rPr>
          <w:rFonts w:ascii="Adobe Arabic" w:eastAsia="Times New Roman" w:hAnsi="Adobe Arabic" w:cs="Adobe Arabic"/>
          <w:color w:val="000000"/>
          <w:sz w:val="32"/>
          <w:szCs w:val="32"/>
          <w:rtl/>
        </w:rPr>
        <w:t>/فأسألكم عن ثقلَيَّ</w:t>
      </w:r>
      <w:r w:rsidR="00706204">
        <w:rPr>
          <w:rStyle w:val="FootnoteReference"/>
          <w:rFonts w:ascii="Adobe Arabic" w:eastAsia="Times New Roman" w:hAnsi="Adobe Arabic" w:cs="Adobe Arabic"/>
          <w:color w:val="000000"/>
          <w:sz w:val="32"/>
          <w:szCs w:val="32"/>
          <w:rtl/>
        </w:rPr>
        <w:footnoteReference w:id="309"/>
      </w:r>
      <w:r w:rsidRPr="001609BB">
        <w:rPr>
          <w:rFonts w:ascii="Adobe Arabic" w:eastAsia="Times New Roman" w:hAnsi="Adobe Arabic" w:cs="Adobe Arabic"/>
          <w:color w:val="000000"/>
          <w:sz w:val="32"/>
          <w:szCs w:val="32"/>
          <w:rtl/>
        </w:rPr>
        <w:t>/ خليفتَين</w:t>
      </w:r>
      <w:r w:rsidR="00706204">
        <w:rPr>
          <w:rStyle w:val="FootnoteReference"/>
          <w:rFonts w:ascii="Adobe Arabic" w:eastAsia="Times New Roman" w:hAnsi="Adobe Arabic" w:cs="Adobe Arabic"/>
          <w:color w:val="000000"/>
          <w:sz w:val="32"/>
          <w:szCs w:val="32"/>
          <w:rtl/>
        </w:rPr>
        <w:footnoteReference w:id="310"/>
      </w:r>
      <w:r w:rsidRPr="001609BB">
        <w:rPr>
          <w:rFonts w:ascii="Adobe Arabic" w:eastAsia="Times New Roman" w:hAnsi="Adobe Arabic" w:cs="Adobe Arabic"/>
          <w:color w:val="000000"/>
          <w:sz w:val="32"/>
          <w:szCs w:val="32"/>
          <w:rtl/>
        </w:rPr>
        <w:t>/ الخليفتَين</w:t>
      </w:r>
      <w:r w:rsidR="00706204">
        <w:rPr>
          <w:rStyle w:val="FootnoteReference"/>
          <w:rFonts w:ascii="Adobe Arabic" w:eastAsia="Times New Roman" w:hAnsi="Adobe Arabic" w:cs="Adobe Arabic"/>
          <w:color w:val="000000"/>
          <w:sz w:val="32"/>
          <w:szCs w:val="32"/>
          <w:rtl/>
        </w:rPr>
        <w:footnoteReference w:id="311"/>
      </w:r>
      <w:r w:rsidRPr="001609BB">
        <w:rPr>
          <w:rFonts w:ascii="Adobe Arabic" w:eastAsia="Times New Roman" w:hAnsi="Adobe Arabic" w:cs="Adobe Arabic"/>
          <w:color w:val="000000"/>
          <w:sz w:val="32"/>
          <w:szCs w:val="32"/>
          <w:rtl/>
        </w:rPr>
        <w:t xml:space="preserve">/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32FF5" w:rsidRDefault="00BD4C4D" w:rsidP="001C38E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الخليفتَين مِن بعدي</w:t>
      </w:r>
      <w:r w:rsidR="00706204">
        <w:rPr>
          <w:rStyle w:val="FootnoteReference"/>
          <w:rFonts w:ascii="Adobe Arabic" w:eastAsia="Times New Roman" w:hAnsi="Adobe Arabic" w:cs="Adobe Arabic"/>
          <w:color w:val="000000"/>
          <w:sz w:val="32"/>
          <w:szCs w:val="32"/>
          <w:rtl/>
        </w:rPr>
        <w:footnoteReference w:id="312"/>
      </w:r>
      <w:r w:rsidRPr="001609BB">
        <w:rPr>
          <w:rFonts w:ascii="Adobe Arabic" w:eastAsia="Times New Roman" w:hAnsi="Adobe Arabic" w:cs="Adobe Arabic"/>
          <w:color w:val="000000"/>
          <w:sz w:val="32"/>
          <w:szCs w:val="32"/>
          <w:rtl/>
        </w:rPr>
        <w:t>/ أمرَين لن تضلّوا إن</w:t>
      </w:r>
      <w:r w:rsidR="00B56E7D">
        <w:rPr>
          <w:rStyle w:val="FootnoteReference"/>
          <w:rFonts w:ascii="Adobe Arabic" w:eastAsia="Times New Roman" w:hAnsi="Adobe Arabic" w:cs="Adobe Arabic"/>
          <w:color w:val="000000"/>
          <w:sz w:val="32"/>
          <w:szCs w:val="32"/>
          <w:rtl/>
        </w:rPr>
        <w:footnoteReference w:id="313"/>
      </w:r>
      <w:r w:rsidRPr="001609BB">
        <w:rPr>
          <w:rFonts w:ascii="Adobe Arabic" w:eastAsia="Times New Roman" w:hAnsi="Adobe Arabic" w:cs="Adobe Arabic"/>
          <w:color w:val="000000"/>
          <w:sz w:val="32"/>
          <w:szCs w:val="32"/>
          <w:rtl/>
        </w:rPr>
        <w:t>: (إذا</w:t>
      </w:r>
      <w:r w:rsidR="00B56E7D">
        <w:rPr>
          <w:rStyle w:val="FootnoteReference"/>
          <w:rFonts w:ascii="Adobe Arabic" w:eastAsia="Times New Roman" w:hAnsi="Adobe Arabic" w:cs="Adobe Arabic"/>
          <w:color w:val="000000"/>
          <w:sz w:val="32"/>
          <w:szCs w:val="32"/>
          <w:rtl/>
        </w:rPr>
        <w:footnoteReference w:id="314"/>
      </w:r>
      <w:r w:rsidRPr="001609BB">
        <w:rPr>
          <w:rFonts w:ascii="Adobe Arabic" w:eastAsia="Times New Roman" w:hAnsi="Adobe Arabic" w:cs="Adobe Arabic"/>
          <w:color w:val="000000"/>
          <w:sz w:val="32"/>
          <w:szCs w:val="32"/>
          <w:rtl/>
        </w:rPr>
        <w:t>) اتّبعتوهما/ اثنَين لن تضلّوا بعدهما أبدًا</w:t>
      </w:r>
      <w:r w:rsidR="003406E5">
        <w:rPr>
          <w:rStyle w:val="FootnoteReference"/>
          <w:rFonts w:ascii="Adobe Arabic" w:eastAsia="Times New Roman" w:hAnsi="Adobe Arabic" w:cs="Adobe Arabic"/>
          <w:color w:val="000000"/>
          <w:sz w:val="32"/>
          <w:szCs w:val="32"/>
          <w:rtl/>
        </w:rPr>
        <w:footnoteReference w:id="315"/>
      </w:r>
      <w:r w:rsidRPr="001609BB">
        <w:rPr>
          <w:rFonts w:ascii="Adobe Arabic" w:eastAsia="Times New Roman" w:hAnsi="Adobe Arabic" w:cs="Adobe Arabic"/>
          <w:color w:val="000000"/>
          <w:sz w:val="32"/>
          <w:szCs w:val="32"/>
          <w:rtl/>
        </w:rPr>
        <w:t>/ ما لن تضلّوا بعدي إن اعتصمتم</w:t>
      </w:r>
      <w:r w:rsidR="003406E5">
        <w:rPr>
          <w:rStyle w:val="FootnoteReference"/>
          <w:rFonts w:ascii="Adobe Arabic" w:eastAsia="Times New Roman" w:hAnsi="Adobe Arabic" w:cs="Adobe Arabic"/>
          <w:color w:val="000000"/>
          <w:sz w:val="32"/>
          <w:szCs w:val="32"/>
          <w:rtl/>
        </w:rPr>
        <w:footnoteReference w:id="316"/>
      </w:r>
      <w:r w:rsidRPr="001609BB">
        <w:rPr>
          <w:rFonts w:ascii="Adobe Arabic" w:eastAsia="Times New Roman" w:hAnsi="Adobe Arabic" w:cs="Adobe Arabic"/>
          <w:color w:val="000000"/>
          <w:sz w:val="32"/>
          <w:szCs w:val="32"/>
          <w:rtl/>
        </w:rPr>
        <w:t>/ ما إن تمسّكتم به لن تضلّوا</w:t>
      </w:r>
      <w:r w:rsidR="003406E5">
        <w:rPr>
          <w:rStyle w:val="FootnoteReference"/>
          <w:rFonts w:ascii="Adobe Arabic" w:eastAsia="Times New Roman" w:hAnsi="Adobe Arabic" w:cs="Adobe Arabic"/>
          <w:color w:val="000000"/>
          <w:sz w:val="32"/>
          <w:szCs w:val="32"/>
          <w:rtl/>
        </w:rPr>
        <w:footnoteReference w:id="317"/>
      </w:r>
      <w:r w:rsidRPr="001609BB">
        <w:rPr>
          <w:rFonts w:ascii="Adobe Arabic" w:eastAsia="Times New Roman" w:hAnsi="Adobe Arabic" w:cs="Adobe Arabic"/>
          <w:color w:val="000000"/>
          <w:sz w:val="32"/>
          <w:szCs w:val="32"/>
          <w:rtl/>
        </w:rPr>
        <w:t>: + بعدي</w:t>
      </w:r>
      <w:r w:rsidR="0036745E">
        <w:rPr>
          <w:rStyle w:val="FootnoteReference"/>
          <w:rFonts w:ascii="Adobe Arabic" w:eastAsia="Times New Roman" w:hAnsi="Adobe Arabic" w:cs="Adobe Arabic"/>
          <w:color w:val="000000"/>
          <w:sz w:val="32"/>
          <w:szCs w:val="32"/>
          <w:rtl/>
        </w:rPr>
        <w:footnoteReference w:id="318"/>
      </w:r>
      <w:r w:rsidRPr="001609BB">
        <w:rPr>
          <w:rFonts w:ascii="Adobe Arabic" w:eastAsia="Times New Roman" w:hAnsi="Adobe Arabic" w:cs="Adobe Arabic"/>
          <w:color w:val="000000"/>
          <w:sz w:val="32"/>
          <w:szCs w:val="32"/>
          <w:rtl/>
        </w:rPr>
        <w:t>/ ما إن أخذتم بهما</w:t>
      </w:r>
      <w:r w:rsidR="0036745E">
        <w:rPr>
          <w:rStyle w:val="FootnoteReference"/>
          <w:rFonts w:ascii="Adobe Arabic" w:eastAsia="Times New Roman" w:hAnsi="Adobe Arabic" w:cs="Adobe Arabic"/>
          <w:color w:val="000000"/>
          <w:sz w:val="32"/>
          <w:szCs w:val="32"/>
          <w:rtl/>
        </w:rPr>
        <w:footnoteReference w:id="319"/>
      </w:r>
      <w:r w:rsidRPr="001609BB">
        <w:rPr>
          <w:rFonts w:ascii="Adobe Arabic" w:eastAsia="Times New Roman" w:hAnsi="Adobe Arabic" w:cs="Adobe Arabic"/>
          <w:color w:val="000000"/>
          <w:sz w:val="32"/>
          <w:szCs w:val="32"/>
          <w:rtl/>
        </w:rPr>
        <w:t> (به</w:t>
      </w:r>
      <w:r w:rsidR="0036745E">
        <w:rPr>
          <w:rStyle w:val="FootnoteReference"/>
          <w:rFonts w:ascii="Adobe Arabic" w:eastAsia="Times New Roman" w:hAnsi="Adobe Arabic" w:cs="Adobe Arabic"/>
          <w:color w:val="000000"/>
          <w:sz w:val="32"/>
          <w:szCs w:val="32"/>
          <w:rtl/>
        </w:rPr>
        <w:footnoteReference w:id="320"/>
      </w:r>
      <w:r w:rsidRPr="001609BB">
        <w:rPr>
          <w:rFonts w:ascii="Adobe Arabic" w:eastAsia="Times New Roman" w:hAnsi="Adobe Arabic" w:cs="Adobe Arabic"/>
          <w:color w:val="000000"/>
          <w:sz w:val="32"/>
          <w:szCs w:val="32"/>
          <w:rtl/>
        </w:rPr>
        <w:t>) لن</w:t>
      </w:r>
      <w:r w:rsidR="0036745E">
        <w:rPr>
          <w:rStyle w:val="FootnoteReference"/>
          <w:rFonts w:ascii="Adobe Arabic" w:eastAsia="Times New Roman" w:hAnsi="Adobe Arabic" w:cs="Adobe Arabic"/>
          <w:color w:val="000000"/>
          <w:sz w:val="32"/>
          <w:szCs w:val="32"/>
          <w:rtl/>
        </w:rPr>
        <w:footnoteReference w:id="321"/>
      </w:r>
      <w:r w:rsidRPr="001609BB">
        <w:rPr>
          <w:rFonts w:ascii="Adobe Arabic" w:eastAsia="Times New Roman" w:hAnsi="Adobe Arabic" w:cs="Adobe Arabic"/>
          <w:color w:val="000000"/>
          <w:sz w:val="32"/>
          <w:szCs w:val="32"/>
          <w:rtl/>
        </w:rPr>
        <w:t> (لم</w:t>
      </w:r>
      <w:r w:rsidR="0036745E">
        <w:rPr>
          <w:rStyle w:val="FootnoteReference"/>
          <w:rFonts w:ascii="Adobe Arabic" w:eastAsia="Times New Roman" w:hAnsi="Adobe Arabic" w:cs="Adobe Arabic"/>
          <w:color w:val="000000"/>
          <w:sz w:val="32"/>
          <w:szCs w:val="32"/>
          <w:rtl/>
        </w:rPr>
        <w:footnoteReference w:id="322"/>
      </w:r>
      <w:r w:rsidRPr="001609BB">
        <w:rPr>
          <w:rFonts w:ascii="Adobe Arabic" w:eastAsia="Times New Roman" w:hAnsi="Adobe Arabic" w:cs="Adobe Arabic"/>
          <w:color w:val="000000"/>
          <w:sz w:val="32"/>
          <w:szCs w:val="32"/>
          <w:rtl/>
        </w:rPr>
        <w:t>) تضلّوا + (من</w:t>
      </w:r>
      <w:r w:rsidR="0036745E">
        <w:rPr>
          <w:rStyle w:val="FootnoteReference"/>
          <w:rFonts w:ascii="Adobe Arabic" w:eastAsia="Times New Roman" w:hAnsi="Adobe Arabic" w:cs="Adobe Arabic"/>
          <w:color w:val="000000"/>
          <w:sz w:val="32"/>
          <w:szCs w:val="32"/>
          <w:rtl/>
        </w:rPr>
        <w:footnoteReference w:id="323"/>
      </w:r>
      <w:r w:rsidRPr="001609BB">
        <w:rPr>
          <w:rFonts w:ascii="Adobe Arabic" w:eastAsia="Times New Roman" w:hAnsi="Adobe Arabic" w:cs="Adobe Arabic"/>
          <w:color w:val="000000"/>
          <w:sz w:val="32"/>
          <w:szCs w:val="32"/>
          <w:rtl/>
        </w:rPr>
        <w:t> بعدي) أحدهما أكبر من الآخر</w:t>
      </w:r>
      <w:r w:rsidR="0036745E">
        <w:rPr>
          <w:rStyle w:val="FootnoteReference"/>
          <w:rFonts w:ascii="Adobe Arabic" w:eastAsia="Times New Roman" w:hAnsi="Adobe Arabic" w:cs="Adobe Arabic"/>
          <w:color w:val="000000"/>
          <w:sz w:val="32"/>
          <w:szCs w:val="32"/>
          <w:rtl/>
        </w:rPr>
        <w:footnoteReference w:id="324"/>
      </w:r>
      <w:r w:rsidRPr="001609BB">
        <w:rPr>
          <w:rFonts w:ascii="Adobe Arabic" w:eastAsia="Times New Roman" w:hAnsi="Adobe Arabic" w:cs="Adobe Arabic"/>
          <w:color w:val="000000"/>
          <w:sz w:val="32"/>
          <w:szCs w:val="32"/>
          <w:rtl/>
        </w:rPr>
        <w:t> (أحدهما أعظم من الآخر</w:t>
      </w:r>
      <w:r w:rsidR="001C38E3">
        <w:rPr>
          <w:rStyle w:val="FootnoteReference"/>
          <w:rFonts w:ascii="Adobe Arabic" w:eastAsia="Times New Roman" w:hAnsi="Adobe Arabic" w:cs="Adobe Arabic"/>
          <w:color w:val="000000"/>
          <w:sz w:val="32"/>
          <w:szCs w:val="32"/>
          <w:rtl/>
        </w:rPr>
        <w:footnoteReference w:id="325"/>
      </w:r>
      <w:r w:rsidRPr="001609BB">
        <w:rPr>
          <w:rFonts w:ascii="Adobe Arabic" w:eastAsia="Times New Roman" w:hAnsi="Adobe Arabic" w:cs="Adobe Arabic"/>
          <w:color w:val="000000"/>
          <w:sz w:val="32"/>
          <w:szCs w:val="32"/>
          <w:rtl/>
        </w:rPr>
        <w:t>/الثقل الأكبر</w:t>
      </w:r>
      <w:r w:rsidR="001C38E3">
        <w:rPr>
          <w:rStyle w:val="FootnoteReference"/>
          <w:rFonts w:ascii="Adobe Arabic" w:eastAsia="Times New Roman" w:hAnsi="Adobe Arabic" w:cs="Adobe Arabic"/>
          <w:color w:val="000000"/>
          <w:sz w:val="32"/>
          <w:szCs w:val="32"/>
          <w:rtl/>
        </w:rPr>
        <w:footnoteReference w:id="326"/>
      </w:r>
      <w:r w:rsidRPr="001609BB">
        <w:rPr>
          <w:rFonts w:ascii="Adobe Arabic" w:eastAsia="Times New Roman" w:hAnsi="Adobe Arabic" w:cs="Adobe Arabic"/>
          <w:color w:val="000000"/>
          <w:sz w:val="32"/>
          <w:szCs w:val="32"/>
          <w:rtl/>
        </w:rPr>
        <w:t>/أوّلهما</w:t>
      </w:r>
      <w:r w:rsidR="001C38E3">
        <w:rPr>
          <w:rStyle w:val="FootnoteReference"/>
          <w:rFonts w:ascii="Adobe Arabic" w:eastAsia="Times New Roman" w:hAnsi="Adobe Arabic" w:cs="Adobe Arabic"/>
          <w:color w:val="000000"/>
          <w:sz w:val="32"/>
          <w:szCs w:val="32"/>
          <w:rtl/>
        </w:rPr>
        <w:footnoteReference w:id="327"/>
      </w:r>
      <w:r w:rsidRPr="001609BB">
        <w:rPr>
          <w:rFonts w:ascii="Adobe Arabic" w:eastAsia="Times New Roman" w:hAnsi="Adobe Arabic" w:cs="Adobe Arabic"/>
          <w:color w:val="000000"/>
          <w:sz w:val="32"/>
          <w:szCs w:val="32"/>
          <w:rtl/>
        </w:rPr>
        <w:t>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32FF5" w:rsidRDefault="00BD4C4D" w:rsidP="004D54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كتاب الله (+ حبل ممدود من السماء إلى الأرض</w:t>
      </w:r>
      <w:r w:rsidR="00091C88">
        <w:rPr>
          <w:rStyle w:val="FootnoteReference"/>
          <w:rFonts w:ascii="Adobe Arabic" w:eastAsia="Times New Roman" w:hAnsi="Adobe Arabic" w:cs="Adobe Arabic"/>
          <w:color w:val="000000"/>
          <w:sz w:val="32"/>
          <w:szCs w:val="32"/>
          <w:rtl/>
        </w:rPr>
        <w:footnoteReference w:id="328"/>
      </w:r>
      <w:r w:rsidRPr="001609BB">
        <w:rPr>
          <w:rFonts w:ascii="Adobe Arabic" w:eastAsia="Times New Roman" w:hAnsi="Adobe Arabic" w:cs="Adobe Arabic"/>
          <w:color w:val="000000"/>
          <w:sz w:val="32"/>
          <w:szCs w:val="32"/>
          <w:rtl/>
        </w:rPr>
        <w:t>/ ما بين السماء والأرض</w:t>
      </w:r>
      <w:r w:rsidR="00091C88">
        <w:rPr>
          <w:rStyle w:val="FootnoteReference"/>
          <w:rFonts w:ascii="Adobe Arabic" w:eastAsia="Times New Roman" w:hAnsi="Adobe Arabic" w:cs="Adobe Arabic"/>
          <w:color w:val="000000"/>
          <w:sz w:val="32"/>
          <w:szCs w:val="32"/>
          <w:rtl/>
        </w:rPr>
        <w:footnoteReference w:id="329"/>
      </w:r>
      <w:r w:rsidRPr="001609BB">
        <w:rPr>
          <w:rFonts w:ascii="Adobe Arabic" w:eastAsia="Times New Roman" w:hAnsi="Adobe Arabic" w:cs="Adobe Arabic"/>
          <w:color w:val="000000"/>
          <w:sz w:val="32"/>
          <w:szCs w:val="32"/>
          <w:rtl/>
        </w:rPr>
        <w:t>/ سبب طرفه بيد الله وطرفه بأيديكم</w:t>
      </w:r>
      <w:r w:rsidR="00091C88">
        <w:rPr>
          <w:rStyle w:val="FootnoteReference"/>
          <w:rFonts w:ascii="Adobe Arabic" w:eastAsia="Times New Roman" w:hAnsi="Adobe Arabic" w:cs="Adobe Arabic"/>
          <w:color w:val="000000"/>
          <w:sz w:val="32"/>
          <w:szCs w:val="32"/>
          <w:rtl/>
        </w:rPr>
        <w:footnoteReference w:id="330"/>
      </w:r>
      <w:r w:rsidRPr="001609BB">
        <w:rPr>
          <w:rFonts w:ascii="Adobe Arabic" w:eastAsia="Times New Roman" w:hAnsi="Adobe Arabic" w:cs="Adobe Arabic"/>
          <w:color w:val="000000"/>
          <w:sz w:val="32"/>
          <w:szCs w:val="32"/>
          <w:rtl/>
        </w:rPr>
        <w:t> + فتمسّكوا به لن تزالوا ولا تضلّوا</w:t>
      </w:r>
      <w:r w:rsidR="00091C88">
        <w:rPr>
          <w:rStyle w:val="FootnoteReference"/>
          <w:rFonts w:ascii="Adobe Arabic" w:eastAsia="Times New Roman" w:hAnsi="Adobe Arabic" w:cs="Adobe Arabic"/>
          <w:color w:val="000000"/>
          <w:sz w:val="32"/>
          <w:szCs w:val="32"/>
          <w:rtl/>
        </w:rPr>
        <w:footnoteReference w:id="331"/>
      </w:r>
      <w:r w:rsidRPr="001609BB">
        <w:rPr>
          <w:rFonts w:ascii="Adobe Arabic" w:eastAsia="Times New Roman" w:hAnsi="Adobe Arabic" w:cs="Adobe Arabic"/>
          <w:color w:val="000000"/>
          <w:sz w:val="32"/>
          <w:szCs w:val="32"/>
          <w:rtl/>
        </w:rPr>
        <w:t>/ فيه الهدى والنور</w:t>
      </w:r>
      <w:r w:rsidR="00091C88">
        <w:rPr>
          <w:rStyle w:val="FootnoteReference"/>
          <w:rFonts w:ascii="Adobe Arabic" w:eastAsia="Times New Roman" w:hAnsi="Adobe Arabic" w:cs="Adobe Arabic"/>
          <w:color w:val="000000"/>
          <w:sz w:val="32"/>
          <w:szCs w:val="32"/>
          <w:rtl/>
        </w:rPr>
        <w:footnoteReference w:id="332"/>
      </w:r>
      <w:r w:rsidRPr="001609BB">
        <w:rPr>
          <w:rFonts w:ascii="Adobe Arabic" w:eastAsia="Times New Roman" w:hAnsi="Adobe Arabic" w:cs="Adobe Arabic"/>
          <w:color w:val="000000"/>
          <w:sz w:val="32"/>
          <w:szCs w:val="32"/>
          <w:rtl/>
        </w:rPr>
        <w:t>. وعترتي</w:t>
      </w:r>
      <w:r w:rsidR="00091C88">
        <w:rPr>
          <w:rStyle w:val="FootnoteReference"/>
          <w:rFonts w:ascii="Adobe Arabic" w:eastAsia="Times New Roman" w:hAnsi="Adobe Arabic" w:cs="Adobe Arabic"/>
          <w:color w:val="000000"/>
          <w:sz w:val="32"/>
          <w:szCs w:val="32"/>
          <w:rtl/>
        </w:rPr>
        <w:footnoteReference w:id="333"/>
      </w:r>
      <w:r w:rsidRPr="001609BB">
        <w:rPr>
          <w:rFonts w:ascii="Adobe Arabic" w:eastAsia="Times New Roman" w:hAnsi="Adobe Arabic" w:cs="Adobe Arabic"/>
          <w:color w:val="000000"/>
          <w:sz w:val="32"/>
          <w:szCs w:val="32"/>
          <w:rtl/>
        </w:rPr>
        <w:t> (+ أهل بيتي</w:t>
      </w:r>
      <w:r w:rsidR="004D54AB">
        <w:rPr>
          <w:rStyle w:val="FootnoteReference"/>
          <w:rFonts w:ascii="Adobe Arabic" w:eastAsia="Times New Roman" w:hAnsi="Adobe Arabic" w:cs="Adobe Arabic"/>
          <w:color w:val="000000"/>
          <w:sz w:val="32"/>
          <w:szCs w:val="32"/>
          <w:rtl/>
        </w:rPr>
        <w:footnoteReference w:id="334"/>
      </w:r>
      <w:r w:rsidRPr="001609BB">
        <w:rPr>
          <w:rFonts w:ascii="Adobe Arabic" w:eastAsia="Times New Roman" w:hAnsi="Adobe Arabic" w:cs="Adobe Arabic"/>
          <w:color w:val="000000"/>
          <w:sz w:val="32"/>
          <w:szCs w:val="32"/>
          <w:rtl/>
        </w:rPr>
        <w:t>/ وهم أهل بيتي</w:t>
      </w:r>
      <w:r w:rsidR="004D54AB">
        <w:rPr>
          <w:rStyle w:val="FootnoteReference"/>
          <w:rFonts w:ascii="Adobe Arabic" w:eastAsia="Times New Roman" w:hAnsi="Adobe Arabic" w:cs="Adobe Arabic"/>
          <w:color w:val="000000"/>
          <w:sz w:val="32"/>
          <w:szCs w:val="32"/>
          <w:rtl/>
        </w:rPr>
        <w:footnoteReference w:id="335"/>
      </w:r>
      <w:r w:rsidRPr="001609BB">
        <w:rPr>
          <w:rFonts w:ascii="Adobe Arabic" w:eastAsia="Times New Roman" w:hAnsi="Adobe Arabic" w:cs="Adobe Arabic"/>
          <w:color w:val="000000"/>
          <w:sz w:val="32"/>
          <w:szCs w:val="32"/>
          <w:rtl/>
        </w:rPr>
        <w:t> (وأهل بيتي</w:t>
      </w:r>
      <w:r w:rsidR="004D54AB">
        <w:rPr>
          <w:rStyle w:val="FootnoteReference"/>
          <w:rFonts w:ascii="Adobe Arabic" w:eastAsia="Times New Roman" w:hAnsi="Adobe Arabic" w:cs="Adobe Arabic"/>
          <w:color w:val="000000"/>
          <w:sz w:val="32"/>
          <w:szCs w:val="32"/>
          <w:rtl/>
        </w:rPr>
        <w:footnoteReference w:id="336"/>
      </w:r>
      <w:r w:rsidRPr="001609BB">
        <w:rPr>
          <w:rFonts w:ascii="Adobe Arabic" w:eastAsia="Times New Roman" w:hAnsi="Adobe Arabic" w:cs="Adobe Arabic"/>
          <w:color w:val="000000"/>
          <w:sz w:val="32"/>
          <w:szCs w:val="32"/>
          <w:rtl/>
        </w:rPr>
        <w:t>/ والأصغر عترتي</w:t>
      </w:r>
      <w:r w:rsidR="004D54AB">
        <w:rPr>
          <w:rStyle w:val="FootnoteReference"/>
          <w:rFonts w:ascii="Adobe Arabic" w:eastAsia="Times New Roman" w:hAnsi="Adobe Arabic" w:cs="Adobe Arabic"/>
          <w:color w:val="000000"/>
          <w:sz w:val="32"/>
          <w:szCs w:val="32"/>
          <w:rtl/>
        </w:rPr>
        <w:footnoteReference w:id="337"/>
      </w:r>
      <w:r w:rsidRPr="001609BB">
        <w:rPr>
          <w:rFonts w:ascii="Adobe Arabic" w:eastAsia="Times New Roman" w:hAnsi="Adobe Arabic" w:cs="Adobe Arabic"/>
          <w:color w:val="000000"/>
          <w:sz w:val="32"/>
          <w:szCs w:val="32"/>
          <w:rtl/>
        </w:rPr>
        <w:t>/ونسبي</w:t>
      </w:r>
      <w:r w:rsidR="004D54AB">
        <w:rPr>
          <w:rStyle w:val="FootnoteReference"/>
          <w:rFonts w:ascii="Adobe Arabic" w:eastAsia="Times New Roman" w:hAnsi="Adobe Arabic" w:cs="Adobe Arabic"/>
          <w:color w:val="000000"/>
          <w:sz w:val="32"/>
          <w:szCs w:val="32"/>
          <w:rtl/>
        </w:rPr>
        <w:footnoteReference w:id="338"/>
      </w:r>
      <w:r w:rsidRPr="001609BB">
        <w:rPr>
          <w:rFonts w:ascii="Adobe Arabic" w:eastAsia="Times New Roman" w:hAnsi="Adobe Arabic" w:cs="Adobe Arabic"/>
          <w:color w:val="000000"/>
          <w:sz w:val="32"/>
          <w:szCs w:val="32"/>
          <w:rtl/>
        </w:rPr>
        <w:t>/ونسبتي</w:t>
      </w:r>
      <w:r w:rsidR="004D54AB">
        <w:rPr>
          <w:rStyle w:val="FootnoteReference"/>
          <w:rFonts w:ascii="Adobe Arabic" w:eastAsia="Times New Roman" w:hAnsi="Adobe Arabic" w:cs="Adobe Arabic"/>
          <w:color w:val="000000"/>
          <w:sz w:val="32"/>
          <w:szCs w:val="32"/>
          <w:rtl/>
        </w:rPr>
        <w:footnoteReference w:id="339"/>
      </w:r>
      <w:r w:rsidRPr="001609BB">
        <w:rPr>
          <w:rFonts w:ascii="Adobe Arabic" w:eastAsia="Times New Roman" w:hAnsi="Adobe Arabic" w:cs="Adobe Arabic"/>
          <w:color w:val="000000"/>
          <w:sz w:val="32"/>
          <w:szCs w:val="32"/>
          <w:rtl/>
        </w:rPr>
        <w:t>) (+فتمسّكوا بهما لن تضلّوا</w:t>
      </w:r>
      <w:r w:rsidR="004D54AB">
        <w:rPr>
          <w:rStyle w:val="FootnoteReference"/>
          <w:rFonts w:ascii="Adobe Arabic" w:eastAsia="Times New Roman" w:hAnsi="Adobe Arabic" w:cs="Adobe Arabic"/>
          <w:color w:val="000000"/>
          <w:sz w:val="32"/>
          <w:szCs w:val="32"/>
          <w:rtl/>
        </w:rPr>
        <w:footnoteReference w:id="340"/>
      </w:r>
      <w:r w:rsidRPr="001609BB">
        <w:rPr>
          <w:rFonts w:ascii="Adobe Arabic" w:eastAsia="Times New Roman" w:hAnsi="Adobe Arabic" w:cs="Adobe Arabic"/>
          <w:color w:val="000000"/>
          <w:sz w:val="32"/>
          <w:szCs w:val="32"/>
          <w:rtl/>
        </w:rPr>
        <w:t xml:space="preserve">/ لن تضلّوا ما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32FF5" w:rsidRDefault="00BD4C4D" w:rsidP="00A703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استمسكتم بهما</w:t>
      </w:r>
      <w:r w:rsidR="004D54AB">
        <w:rPr>
          <w:rStyle w:val="FootnoteReference"/>
          <w:rFonts w:ascii="Adobe Arabic" w:eastAsia="Times New Roman" w:hAnsi="Adobe Arabic" w:cs="Adobe Arabic"/>
          <w:color w:val="000000"/>
          <w:sz w:val="32"/>
          <w:szCs w:val="32"/>
          <w:rtl/>
        </w:rPr>
        <w:footnoteReference w:id="341"/>
      </w:r>
      <w:r w:rsidRPr="001609BB">
        <w:rPr>
          <w:rFonts w:ascii="Adobe Arabic" w:eastAsia="Times New Roman" w:hAnsi="Adobe Arabic" w:cs="Adobe Arabic"/>
          <w:color w:val="000000"/>
          <w:sz w:val="32"/>
          <w:szCs w:val="32"/>
          <w:rtl/>
        </w:rPr>
        <w:t>/ وإنّكم لن تضلّوا بعدهما</w:t>
      </w:r>
      <w:r w:rsidR="004D54AB">
        <w:rPr>
          <w:rStyle w:val="FootnoteReference"/>
          <w:rFonts w:ascii="Adobe Arabic" w:eastAsia="Times New Roman" w:hAnsi="Adobe Arabic" w:cs="Adobe Arabic"/>
          <w:color w:val="000000"/>
          <w:sz w:val="32"/>
          <w:szCs w:val="32"/>
          <w:rtl/>
        </w:rPr>
        <w:footnoteReference w:id="342"/>
      </w:r>
      <w:r w:rsidRPr="001609BB">
        <w:rPr>
          <w:rFonts w:ascii="Adobe Arabic" w:eastAsia="Times New Roman" w:hAnsi="Adobe Arabic" w:cs="Adobe Arabic"/>
          <w:color w:val="000000"/>
          <w:sz w:val="32"/>
          <w:szCs w:val="32"/>
          <w:rtl/>
        </w:rPr>
        <w:t>) وإنّ اللطيف الخبير (قد</w:t>
      </w:r>
      <w:r w:rsidR="004D54AB">
        <w:rPr>
          <w:rStyle w:val="FootnoteReference"/>
          <w:rFonts w:ascii="Adobe Arabic" w:eastAsia="Times New Roman" w:hAnsi="Adobe Arabic" w:cs="Adobe Arabic"/>
          <w:color w:val="000000"/>
          <w:sz w:val="32"/>
          <w:szCs w:val="32"/>
          <w:rtl/>
        </w:rPr>
        <w:footnoteReference w:id="343"/>
      </w:r>
      <w:r w:rsidRPr="001609BB">
        <w:rPr>
          <w:rFonts w:ascii="Adobe Arabic" w:eastAsia="Times New Roman" w:hAnsi="Adobe Arabic" w:cs="Adobe Arabic"/>
          <w:color w:val="000000"/>
          <w:sz w:val="32"/>
          <w:szCs w:val="32"/>
          <w:rtl/>
        </w:rPr>
        <w:t>) نبّأني</w:t>
      </w:r>
      <w:r w:rsidR="004D54AB">
        <w:rPr>
          <w:rStyle w:val="FootnoteReference"/>
          <w:rFonts w:ascii="Adobe Arabic" w:eastAsia="Times New Roman" w:hAnsi="Adobe Arabic" w:cs="Adobe Arabic"/>
          <w:color w:val="000000"/>
          <w:sz w:val="32"/>
          <w:szCs w:val="32"/>
          <w:rtl/>
        </w:rPr>
        <w:footnoteReference w:id="344"/>
      </w:r>
      <w:r w:rsidRPr="001609BB">
        <w:rPr>
          <w:rFonts w:ascii="Adobe Arabic" w:eastAsia="Times New Roman" w:hAnsi="Adobe Arabic" w:cs="Adobe Arabic"/>
          <w:color w:val="000000"/>
          <w:sz w:val="32"/>
          <w:szCs w:val="32"/>
          <w:rtl/>
        </w:rPr>
        <w:t> (قد أنبأني</w:t>
      </w:r>
      <w:r w:rsidR="004D54AB">
        <w:rPr>
          <w:rStyle w:val="FootnoteReference"/>
          <w:rFonts w:ascii="Adobe Arabic" w:eastAsia="Times New Roman" w:hAnsi="Adobe Arabic" w:cs="Adobe Arabic"/>
          <w:color w:val="000000"/>
          <w:sz w:val="32"/>
          <w:szCs w:val="32"/>
          <w:rtl/>
        </w:rPr>
        <w:footnoteReference w:id="345"/>
      </w:r>
      <w:r w:rsidRPr="001609BB">
        <w:rPr>
          <w:rFonts w:ascii="Adobe Arabic" w:eastAsia="Times New Roman" w:hAnsi="Adobe Arabic" w:cs="Adobe Arabic"/>
          <w:color w:val="000000"/>
          <w:sz w:val="32"/>
          <w:szCs w:val="32"/>
          <w:rtl/>
        </w:rPr>
        <w:t> /قد وعدني</w:t>
      </w:r>
      <w:r w:rsidR="004D54AB">
        <w:rPr>
          <w:rStyle w:val="FootnoteReference"/>
          <w:rFonts w:ascii="Adobe Arabic" w:eastAsia="Times New Roman" w:hAnsi="Adobe Arabic" w:cs="Adobe Arabic"/>
          <w:color w:val="000000"/>
          <w:sz w:val="32"/>
          <w:szCs w:val="32"/>
          <w:rtl/>
        </w:rPr>
        <w:footnoteReference w:id="346"/>
      </w:r>
      <w:r w:rsidRPr="001609BB">
        <w:rPr>
          <w:rFonts w:ascii="Adobe Arabic" w:eastAsia="Times New Roman" w:hAnsi="Adobe Arabic" w:cs="Adobe Arabic"/>
          <w:color w:val="000000"/>
          <w:sz w:val="32"/>
          <w:szCs w:val="32"/>
          <w:rtl/>
        </w:rPr>
        <w:t>/ عهد إليّ</w:t>
      </w:r>
      <w:r w:rsidR="004D54AB">
        <w:rPr>
          <w:rStyle w:val="FootnoteReference"/>
          <w:rFonts w:ascii="Adobe Arabic" w:eastAsia="Times New Roman" w:hAnsi="Adobe Arabic" w:cs="Adobe Arabic"/>
          <w:color w:val="000000"/>
          <w:sz w:val="32"/>
          <w:szCs w:val="32"/>
          <w:rtl/>
        </w:rPr>
        <w:footnoteReference w:id="347"/>
      </w:r>
      <w:r w:rsidRPr="001609BB">
        <w:rPr>
          <w:rFonts w:ascii="Adobe Arabic" w:eastAsia="Times New Roman" w:hAnsi="Adobe Arabic" w:cs="Adobe Arabic"/>
          <w:color w:val="000000"/>
          <w:sz w:val="32"/>
          <w:szCs w:val="32"/>
          <w:rtl/>
        </w:rPr>
        <w:t>/أخبرني</w:t>
      </w:r>
      <w:r w:rsidR="004D54AB">
        <w:rPr>
          <w:rStyle w:val="FootnoteReference"/>
          <w:rFonts w:ascii="Adobe Arabic" w:eastAsia="Times New Roman" w:hAnsi="Adobe Arabic" w:cs="Adobe Arabic"/>
          <w:color w:val="000000"/>
          <w:sz w:val="32"/>
          <w:szCs w:val="32"/>
          <w:rtl/>
        </w:rPr>
        <w:footnoteReference w:id="348"/>
      </w:r>
      <w:r w:rsidRPr="001609BB">
        <w:rPr>
          <w:rFonts w:ascii="Adobe Arabic" w:eastAsia="Times New Roman" w:hAnsi="Adobe Arabic" w:cs="Adobe Arabic"/>
          <w:color w:val="000000"/>
          <w:sz w:val="32"/>
          <w:szCs w:val="32"/>
          <w:rtl/>
        </w:rPr>
        <w:t>/ خبّرني</w:t>
      </w:r>
      <w:r w:rsidR="004D54AB">
        <w:rPr>
          <w:rStyle w:val="FootnoteReference"/>
          <w:rFonts w:ascii="Adobe Arabic" w:eastAsia="Times New Roman" w:hAnsi="Adobe Arabic" w:cs="Adobe Arabic"/>
          <w:color w:val="000000"/>
          <w:sz w:val="32"/>
          <w:szCs w:val="32"/>
          <w:rtl/>
        </w:rPr>
        <w:footnoteReference w:id="349"/>
      </w:r>
      <w:r w:rsidRPr="001609BB">
        <w:rPr>
          <w:rFonts w:ascii="Adobe Arabic" w:eastAsia="Times New Roman" w:hAnsi="Adobe Arabic" w:cs="Adobe Arabic"/>
          <w:color w:val="000000"/>
          <w:sz w:val="32"/>
          <w:szCs w:val="32"/>
          <w:rtl/>
        </w:rPr>
        <w:t>). أنّهما لن يتفرّقا</w:t>
      </w:r>
      <w:r w:rsidR="00A7039A">
        <w:rPr>
          <w:rStyle w:val="FootnoteReference"/>
          <w:rFonts w:ascii="Adobe Arabic" w:eastAsia="Times New Roman" w:hAnsi="Adobe Arabic" w:cs="Adobe Arabic"/>
          <w:color w:val="000000"/>
          <w:sz w:val="32"/>
          <w:szCs w:val="32"/>
          <w:rtl/>
        </w:rPr>
        <w:footnoteReference w:id="350"/>
      </w:r>
      <w:r w:rsidRPr="001609BB">
        <w:rPr>
          <w:rFonts w:ascii="Adobe Arabic" w:eastAsia="Times New Roman" w:hAnsi="Adobe Arabic" w:cs="Adobe Arabic"/>
          <w:color w:val="000000"/>
          <w:sz w:val="32"/>
          <w:szCs w:val="32"/>
          <w:rtl/>
        </w:rPr>
        <w:t> (يفترقا</w:t>
      </w:r>
      <w:r w:rsidR="00A7039A">
        <w:rPr>
          <w:rStyle w:val="FootnoteReference"/>
          <w:rFonts w:ascii="Adobe Arabic" w:eastAsia="Times New Roman" w:hAnsi="Adobe Arabic" w:cs="Adobe Arabic"/>
          <w:color w:val="000000"/>
          <w:sz w:val="32"/>
          <w:szCs w:val="32"/>
          <w:rtl/>
        </w:rPr>
        <w:footnoteReference w:id="351"/>
      </w:r>
      <w:r w:rsidRPr="001609BB">
        <w:rPr>
          <w:rFonts w:ascii="Adobe Arabic" w:eastAsia="Times New Roman" w:hAnsi="Adobe Arabic" w:cs="Adobe Arabic"/>
          <w:color w:val="000000"/>
          <w:sz w:val="32"/>
          <w:szCs w:val="32"/>
          <w:rtl/>
        </w:rPr>
        <w:t>) حتّى يَرِدَا عَلَيَّ الحوض (+كهاتَين (وأشار بإصبَعيه المسبّحتَين) ولا أقول كهاتَين (المسبّحة والوسطى)</w:t>
      </w:r>
      <w:r w:rsidR="00A7039A">
        <w:rPr>
          <w:rStyle w:val="FootnoteReference"/>
          <w:rFonts w:ascii="Adobe Arabic" w:eastAsia="Times New Roman" w:hAnsi="Adobe Arabic" w:cs="Adobe Arabic"/>
          <w:color w:val="000000"/>
          <w:sz w:val="32"/>
          <w:szCs w:val="32"/>
          <w:rtl/>
        </w:rPr>
        <w:footnoteReference w:id="352"/>
      </w:r>
      <w:r w:rsidRPr="001609BB">
        <w:rPr>
          <w:rFonts w:ascii="Adobe Arabic" w:eastAsia="Times New Roman" w:hAnsi="Adobe Arabic" w:cs="Adobe Arabic"/>
          <w:color w:val="000000"/>
          <w:sz w:val="32"/>
          <w:szCs w:val="32"/>
          <w:rtl/>
        </w:rPr>
        <w:t xml:space="preserve"> / وإنّي قد سألتُ لهما اللطيف الخبير، فأعطاني أن يَرِدَا عَلَيَّ الحوض كهاتَين -وأشار بالمسبّحتَين-، ناصِرُهما لي ناصِر، وخاذِلهما لي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32FF5" w:rsidRDefault="00BD4C4D" w:rsidP="00306B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609BB">
        <w:rPr>
          <w:rFonts w:ascii="Adobe Arabic" w:eastAsia="Times New Roman" w:hAnsi="Adobe Arabic" w:cs="Adobe Arabic"/>
          <w:color w:val="000000"/>
          <w:sz w:val="32"/>
          <w:szCs w:val="32"/>
          <w:rtl/>
        </w:rPr>
        <w:lastRenderedPageBreak/>
        <w:t>خاذِل، وليُّهما لي وليّ، وعدوّهما لي عدوّ</w:t>
      </w:r>
      <w:r w:rsidR="00A7039A">
        <w:rPr>
          <w:rStyle w:val="FootnoteReference"/>
          <w:rFonts w:ascii="Adobe Arabic" w:eastAsia="Times New Roman" w:hAnsi="Adobe Arabic" w:cs="Adobe Arabic"/>
          <w:color w:val="000000"/>
          <w:sz w:val="32"/>
          <w:szCs w:val="32"/>
          <w:rtl/>
        </w:rPr>
        <w:footnoteReference w:id="353"/>
      </w:r>
      <w:r w:rsidRPr="001609BB">
        <w:rPr>
          <w:rFonts w:ascii="Adobe Arabic" w:eastAsia="Times New Roman" w:hAnsi="Adobe Arabic" w:cs="Adobe Arabic"/>
          <w:color w:val="000000"/>
          <w:sz w:val="32"/>
          <w:szCs w:val="32"/>
          <w:rtl/>
        </w:rPr>
        <w:t>/ وَسَأَلْتُهُ ذَلِكَ لَهُمَا</w:t>
      </w:r>
      <w:r w:rsidR="00A7039A">
        <w:rPr>
          <w:rStyle w:val="FootnoteReference"/>
          <w:rFonts w:ascii="Adobe Arabic" w:eastAsia="Times New Roman" w:hAnsi="Adobe Arabic" w:cs="Adobe Arabic"/>
          <w:color w:val="000000"/>
          <w:sz w:val="32"/>
          <w:szCs w:val="32"/>
          <w:rtl/>
        </w:rPr>
        <w:footnoteReference w:id="354"/>
      </w:r>
      <w:r w:rsidRPr="001609BB">
        <w:rPr>
          <w:rFonts w:ascii="Adobe Arabic" w:eastAsia="Times New Roman" w:hAnsi="Adobe Arabic" w:cs="Adobe Arabic"/>
          <w:color w:val="000000"/>
          <w:sz w:val="32"/>
          <w:szCs w:val="32"/>
          <w:rtl/>
        </w:rPr>
        <w:t>/ نبّأني العليم</w:t>
      </w:r>
      <w:r w:rsidR="00A7039A">
        <w:rPr>
          <w:rStyle w:val="FootnoteReference"/>
          <w:rFonts w:ascii="Adobe Arabic" w:eastAsia="Times New Roman" w:hAnsi="Adobe Arabic" w:cs="Adobe Arabic"/>
          <w:color w:val="000000"/>
          <w:sz w:val="32"/>
          <w:szCs w:val="32"/>
          <w:rtl/>
        </w:rPr>
        <w:footnoteReference w:id="355"/>
      </w:r>
      <w:r w:rsidRPr="001609BB">
        <w:rPr>
          <w:rFonts w:ascii="Adobe Arabic" w:eastAsia="Times New Roman" w:hAnsi="Adobe Arabic" w:cs="Adobe Arabic"/>
          <w:color w:val="000000"/>
          <w:sz w:val="32"/>
          <w:szCs w:val="32"/>
          <w:rtl/>
        </w:rPr>
        <w:t> (اللطيف</w:t>
      </w:r>
      <w:r w:rsidR="00A7039A">
        <w:rPr>
          <w:rStyle w:val="FootnoteReference"/>
          <w:rFonts w:ascii="Adobe Arabic" w:eastAsia="Times New Roman" w:hAnsi="Adobe Arabic" w:cs="Adobe Arabic"/>
          <w:color w:val="000000"/>
          <w:sz w:val="32"/>
          <w:szCs w:val="32"/>
          <w:rtl/>
        </w:rPr>
        <w:footnoteReference w:id="356"/>
      </w:r>
      <w:r w:rsidRPr="001609BB">
        <w:rPr>
          <w:rFonts w:ascii="Adobe Arabic" w:eastAsia="Times New Roman" w:hAnsi="Adobe Arabic" w:cs="Adobe Arabic"/>
          <w:color w:val="000000"/>
          <w:sz w:val="32"/>
          <w:szCs w:val="32"/>
          <w:rtl/>
        </w:rPr>
        <w:t>) الخبير أنّهما لن ينقضيا حتَّى يَرِدَا عَلَيَّ الحوض/ فإنّهما لن يزالا جميعًا</w:t>
      </w:r>
      <w:r w:rsidR="00A7039A">
        <w:rPr>
          <w:rStyle w:val="FootnoteReference"/>
          <w:rFonts w:ascii="Adobe Arabic" w:eastAsia="Times New Roman" w:hAnsi="Adobe Arabic" w:cs="Adobe Arabic"/>
          <w:color w:val="000000"/>
          <w:sz w:val="32"/>
          <w:szCs w:val="32"/>
          <w:rtl/>
        </w:rPr>
        <w:footnoteReference w:id="357"/>
      </w:r>
      <w:r w:rsidRPr="001609BB">
        <w:rPr>
          <w:rFonts w:ascii="Adobe Arabic" w:eastAsia="Times New Roman" w:hAnsi="Adobe Arabic" w:cs="Adobe Arabic"/>
          <w:color w:val="000000"/>
          <w:sz w:val="32"/>
          <w:szCs w:val="32"/>
          <w:rtl/>
        </w:rPr>
        <w:t> (جمعًا</w:t>
      </w:r>
      <w:r w:rsidR="00A7039A">
        <w:rPr>
          <w:rStyle w:val="FootnoteReference"/>
          <w:rFonts w:ascii="Adobe Arabic" w:eastAsia="Times New Roman" w:hAnsi="Adobe Arabic" w:cs="Adobe Arabic"/>
          <w:color w:val="000000"/>
          <w:sz w:val="32"/>
          <w:szCs w:val="32"/>
          <w:rtl/>
        </w:rPr>
        <w:footnoteReference w:id="358"/>
      </w:r>
      <w:r w:rsidRPr="001609BB">
        <w:rPr>
          <w:rFonts w:ascii="Adobe Arabic" w:eastAsia="Times New Roman" w:hAnsi="Adobe Arabic" w:cs="Adobe Arabic"/>
          <w:color w:val="000000"/>
          <w:sz w:val="32"/>
          <w:szCs w:val="32"/>
          <w:rtl/>
        </w:rPr>
        <w:t>) حتّى يَرِدَا عَلَيَّ الحوض/ سألت اللهَ أن لا يفرّق بينهما حتّى يوردهما عَلَيَّ الحوض، فأعطاني ذلك</w:t>
      </w:r>
      <w:r w:rsidR="00A7039A">
        <w:rPr>
          <w:rStyle w:val="FootnoteReference"/>
          <w:rFonts w:ascii="Adobe Arabic" w:eastAsia="Times New Roman" w:hAnsi="Adobe Arabic" w:cs="Adobe Arabic"/>
          <w:color w:val="000000"/>
          <w:sz w:val="32"/>
          <w:szCs w:val="32"/>
          <w:rtl/>
        </w:rPr>
        <w:footnoteReference w:id="359"/>
      </w:r>
      <w:r w:rsidRPr="001609BB">
        <w:rPr>
          <w:rFonts w:ascii="Adobe Arabic" w:eastAsia="Times New Roman" w:hAnsi="Adobe Arabic" w:cs="Adobe Arabic"/>
          <w:color w:val="000000"/>
          <w:sz w:val="32"/>
          <w:szCs w:val="32"/>
          <w:rtl/>
        </w:rPr>
        <w:t>/ فتعلّموا منهم، ولا تعلّموهم، فإنّهم أعلم منكم</w:t>
      </w:r>
      <w:r w:rsidR="00A7039A">
        <w:rPr>
          <w:rStyle w:val="FootnoteReference"/>
          <w:rFonts w:ascii="Adobe Arabic" w:eastAsia="Times New Roman" w:hAnsi="Adobe Arabic" w:cs="Adobe Arabic"/>
          <w:color w:val="000000"/>
          <w:sz w:val="32"/>
          <w:szCs w:val="32"/>
          <w:rtl/>
        </w:rPr>
        <w:footnoteReference w:id="360"/>
      </w:r>
      <w:r w:rsidRPr="001609BB">
        <w:rPr>
          <w:rFonts w:ascii="Adobe Arabic" w:eastAsia="Times New Roman" w:hAnsi="Adobe Arabic" w:cs="Adobe Arabic"/>
          <w:color w:val="000000"/>
          <w:sz w:val="32"/>
          <w:szCs w:val="32"/>
          <w:rtl/>
        </w:rPr>
        <w:t>) (+ فانظروا كيف تخلّفوني فيهما</w:t>
      </w:r>
      <w:r w:rsidR="00A7039A">
        <w:rPr>
          <w:rStyle w:val="FootnoteReference"/>
          <w:rFonts w:ascii="Adobe Arabic" w:eastAsia="Times New Roman" w:hAnsi="Adobe Arabic" w:cs="Adobe Arabic"/>
          <w:color w:val="000000"/>
          <w:sz w:val="32"/>
          <w:szCs w:val="32"/>
          <w:rtl/>
        </w:rPr>
        <w:footnoteReference w:id="361"/>
      </w:r>
      <w:r w:rsidRPr="001609BB">
        <w:rPr>
          <w:rFonts w:ascii="Adobe Arabic" w:eastAsia="Times New Roman" w:hAnsi="Adobe Arabic" w:cs="Adobe Arabic"/>
          <w:color w:val="000000"/>
          <w:sz w:val="32"/>
          <w:szCs w:val="32"/>
          <w:rtl/>
        </w:rPr>
        <w:t>/ فانظروا بِمَ</w:t>
      </w:r>
      <w:r w:rsidR="00A7039A">
        <w:rPr>
          <w:rStyle w:val="FootnoteReference"/>
          <w:rFonts w:ascii="Adobe Arabic" w:eastAsia="Times New Roman" w:hAnsi="Adobe Arabic" w:cs="Adobe Arabic"/>
          <w:color w:val="000000"/>
          <w:sz w:val="32"/>
          <w:szCs w:val="32"/>
          <w:rtl/>
        </w:rPr>
        <w:footnoteReference w:id="362"/>
      </w:r>
      <w:r w:rsidRPr="001609BB">
        <w:rPr>
          <w:rFonts w:ascii="Adobe Arabic" w:eastAsia="Times New Roman" w:hAnsi="Adobe Arabic" w:cs="Adobe Arabic"/>
          <w:color w:val="000000"/>
          <w:sz w:val="32"/>
          <w:szCs w:val="32"/>
          <w:rtl/>
        </w:rPr>
        <w:t> (ماذا</w:t>
      </w:r>
      <w:r w:rsidR="00A7039A">
        <w:rPr>
          <w:rStyle w:val="FootnoteReference"/>
          <w:rFonts w:ascii="Adobe Arabic" w:eastAsia="Times New Roman" w:hAnsi="Adobe Arabic" w:cs="Adobe Arabic"/>
          <w:color w:val="000000"/>
          <w:sz w:val="32"/>
          <w:szCs w:val="32"/>
          <w:rtl/>
        </w:rPr>
        <w:footnoteReference w:id="363"/>
      </w:r>
      <w:r w:rsidRPr="001609BB">
        <w:rPr>
          <w:rFonts w:ascii="Adobe Arabic" w:eastAsia="Times New Roman" w:hAnsi="Adobe Arabic" w:cs="Adobe Arabic"/>
          <w:color w:val="000000"/>
          <w:sz w:val="32"/>
          <w:szCs w:val="32"/>
          <w:rtl/>
        </w:rPr>
        <w:t>/ بماذا</w:t>
      </w:r>
      <w:r w:rsidR="00A7039A">
        <w:rPr>
          <w:rStyle w:val="FootnoteReference"/>
          <w:rFonts w:ascii="Adobe Arabic" w:eastAsia="Times New Roman" w:hAnsi="Adobe Arabic" w:cs="Adobe Arabic"/>
          <w:color w:val="000000"/>
          <w:sz w:val="32"/>
          <w:szCs w:val="32"/>
          <w:rtl/>
        </w:rPr>
        <w:footnoteReference w:id="364"/>
      </w:r>
      <w:r w:rsidRPr="001609BB">
        <w:rPr>
          <w:rFonts w:ascii="Adobe Arabic" w:eastAsia="Times New Roman" w:hAnsi="Adobe Arabic" w:cs="Adobe Arabic"/>
          <w:color w:val="000000"/>
          <w:sz w:val="32"/>
          <w:szCs w:val="32"/>
          <w:rtl/>
        </w:rPr>
        <w:t>) تخلّفوني فيهما/ فانظروا كيف تلحقوا بي فيهما</w:t>
      </w:r>
      <w:r w:rsidR="00306B0B">
        <w:rPr>
          <w:rStyle w:val="FootnoteReference"/>
          <w:rFonts w:ascii="Adobe Arabic" w:eastAsia="Times New Roman" w:hAnsi="Adobe Arabic" w:cs="Adobe Arabic"/>
          <w:color w:val="000000"/>
          <w:sz w:val="32"/>
          <w:szCs w:val="32"/>
          <w:rtl/>
        </w:rPr>
        <w:footnoteReference w:id="365"/>
      </w:r>
      <w:r w:rsidRPr="001609BB">
        <w:rPr>
          <w:rFonts w:ascii="Adobe Arabic" w:eastAsia="Times New Roman" w:hAnsi="Adobe Arabic" w:cs="Adobe Arabic"/>
          <w:color w:val="000000"/>
          <w:sz w:val="32"/>
          <w:szCs w:val="32"/>
          <w:rtl/>
        </w:rPr>
        <w:t> / والله سائلكم كيف خلّفتموني في كتاب الله وأهل بيتي</w:t>
      </w:r>
      <w:r w:rsidR="00306B0B">
        <w:rPr>
          <w:rStyle w:val="FootnoteReference"/>
          <w:rFonts w:ascii="Adobe Arabic" w:eastAsia="Times New Roman" w:hAnsi="Adobe Arabic" w:cs="Adobe Arabic"/>
          <w:color w:val="000000"/>
          <w:sz w:val="32"/>
          <w:szCs w:val="32"/>
          <w:rtl/>
        </w:rPr>
        <w:footnoteReference w:id="366"/>
      </w:r>
      <w:r w:rsidRPr="001609BB">
        <w:rPr>
          <w:rFonts w:ascii="Adobe Arabic" w:eastAsia="Times New Roman" w:hAnsi="Adobe Arabic" w:cs="Adobe Arabic"/>
          <w:color w:val="000000"/>
          <w:sz w:val="32"/>
          <w:szCs w:val="32"/>
          <w:rtl/>
        </w:rPr>
        <w:t> /سألتُ ذلك لهما ربّي</w:t>
      </w:r>
      <w:r w:rsidR="00306B0B">
        <w:rPr>
          <w:rStyle w:val="FootnoteReference"/>
          <w:rFonts w:ascii="Adobe Arabic" w:eastAsia="Times New Roman" w:hAnsi="Adobe Arabic" w:cs="Adobe Arabic"/>
          <w:color w:val="000000"/>
          <w:sz w:val="32"/>
          <w:szCs w:val="32"/>
          <w:rtl/>
        </w:rPr>
        <w:footnoteReference w:id="367"/>
      </w:r>
      <w:hyperlink r:id="rId17" w:anchor="footnote-007" w:history="1"/>
      <w:r w:rsidRPr="001609BB">
        <w:rPr>
          <w:rFonts w:ascii="Adobe Arabic" w:eastAsia="Times New Roman" w:hAnsi="Adobe Arabic" w:cs="Adobe Arabic"/>
          <w:color w:val="000000"/>
          <w:sz w:val="32"/>
          <w:szCs w:val="32"/>
          <w:rtl/>
        </w:rPr>
        <w:t>/ سألت لهما ذاك ربّي</w:t>
      </w:r>
      <w:r w:rsidR="00306B0B">
        <w:rPr>
          <w:rStyle w:val="FootnoteReference"/>
          <w:rFonts w:ascii="Adobe Arabic" w:eastAsia="Times New Roman" w:hAnsi="Adobe Arabic" w:cs="Adobe Arabic"/>
          <w:color w:val="000000"/>
          <w:sz w:val="32"/>
          <w:szCs w:val="32"/>
          <w:rtl/>
        </w:rPr>
        <w:footnoteReference w:id="368"/>
      </w:r>
      <w:r w:rsidRPr="001609BB">
        <w:rPr>
          <w:rFonts w:ascii="Adobe Arabic" w:eastAsia="Times New Roman" w:hAnsi="Adobe Arabic" w:cs="Adobe Arabic"/>
          <w:color w:val="000000"/>
          <w:sz w:val="32"/>
          <w:szCs w:val="32"/>
          <w:rtl/>
        </w:rPr>
        <w:t>/ وسألت ذلك لهما فأعطاني</w:t>
      </w:r>
      <w:r w:rsidR="00306B0B">
        <w:rPr>
          <w:rStyle w:val="FootnoteReference"/>
          <w:rFonts w:ascii="Adobe Arabic" w:eastAsia="Times New Roman" w:hAnsi="Adobe Arabic" w:cs="Adobe Arabic"/>
          <w:color w:val="000000"/>
          <w:sz w:val="32"/>
          <w:szCs w:val="32"/>
          <w:rtl/>
        </w:rPr>
        <w:footnoteReference w:id="369"/>
      </w:r>
      <w:r w:rsidRPr="001609BB">
        <w:rPr>
          <w:rFonts w:ascii="Adobe Arabic" w:eastAsia="Times New Roman" w:hAnsi="Adobe Arabic" w:cs="Adobe Arabic"/>
          <w:color w:val="000000"/>
          <w:sz w:val="32"/>
          <w:szCs w:val="32"/>
          <w:rtl/>
        </w:rPr>
        <w:t xml:space="preserve">/ سألت الله ربّي لهم ذلك، فأعطاني، فلا تسبقوهم فتهلكوا، ولا </w:t>
      </w:r>
    </w:p>
    <w:p w:rsidR="00932FF5" w:rsidRDefault="00932FF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4226D" w:rsidRPr="008711A0" w:rsidRDefault="00BD4C4D" w:rsidP="00306B0B">
      <w:pPr>
        <w:bidi/>
        <w:spacing w:before="100" w:beforeAutospacing="1" w:after="100" w:afterAutospacing="1" w:line="240" w:lineRule="auto"/>
        <w:jc w:val="both"/>
        <w:rPr>
          <w:rFonts w:ascii="Adobe Arabic" w:eastAsia="Times New Roman" w:hAnsi="Adobe Arabic" w:cs="Adobe Arabic"/>
          <w:color w:val="000000"/>
          <w:sz w:val="32"/>
          <w:szCs w:val="32"/>
        </w:rPr>
      </w:pPr>
      <w:r w:rsidRPr="001609BB">
        <w:rPr>
          <w:rFonts w:ascii="Adobe Arabic" w:eastAsia="Times New Roman" w:hAnsi="Adobe Arabic" w:cs="Adobe Arabic"/>
          <w:color w:val="000000"/>
          <w:sz w:val="32"/>
          <w:szCs w:val="32"/>
          <w:rtl/>
        </w:rPr>
        <w:lastRenderedPageBreak/>
        <w:t>تعلّموهم فهم أعلم منكم</w:t>
      </w:r>
      <w:r w:rsidR="00306B0B">
        <w:rPr>
          <w:rStyle w:val="FootnoteReference"/>
          <w:rFonts w:ascii="Adobe Arabic" w:eastAsia="Times New Roman" w:hAnsi="Adobe Arabic" w:cs="Adobe Arabic"/>
          <w:color w:val="000000"/>
          <w:sz w:val="32"/>
          <w:szCs w:val="32"/>
          <w:rtl/>
        </w:rPr>
        <w:footnoteReference w:id="370"/>
      </w:r>
      <w:r w:rsidRPr="001609BB">
        <w:rPr>
          <w:rFonts w:ascii="Adobe Arabic" w:eastAsia="Times New Roman" w:hAnsi="Adobe Arabic" w:cs="Adobe Arabic"/>
          <w:color w:val="000000"/>
          <w:sz w:val="32"/>
          <w:szCs w:val="32"/>
          <w:rtl/>
        </w:rPr>
        <w:t>/ فتمسّكوا بهما ولا تقدّموهما فتضلّوا</w:t>
      </w:r>
      <w:r w:rsidR="00306B0B">
        <w:rPr>
          <w:rStyle w:val="FootnoteReference"/>
          <w:rFonts w:ascii="Adobe Arabic" w:eastAsia="Times New Roman" w:hAnsi="Adobe Arabic" w:cs="Adobe Arabic"/>
          <w:color w:val="000000"/>
          <w:sz w:val="32"/>
          <w:szCs w:val="32"/>
          <w:rtl/>
        </w:rPr>
        <w:footnoteReference w:id="371"/>
      </w:r>
      <w:r w:rsidRPr="001609BB">
        <w:rPr>
          <w:rFonts w:ascii="Adobe Arabic" w:eastAsia="Times New Roman" w:hAnsi="Adobe Arabic" w:cs="Adobe Arabic"/>
          <w:color w:val="000000"/>
          <w:sz w:val="32"/>
          <w:szCs w:val="32"/>
          <w:rtl/>
        </w:rPr>
        <w:t>/ فإنّي قد سألتُ لهم اللطيف الخبير فأعطاني</w:t>
      </w:r>
      <w:r w:rsidR="00306B0B">
        <w:rPr>
          <w:rStyle w:val="FootnoteReference"/>
          <w:rFonts w:ascii="Adobe Arabic" w:eastAsia="Times New Roman" w:hAnsi="Adobe Arabic" w:cs="Adobe Arabic"/>
          <w:color w:val="000000"/>
          <w:sz w:val="32"/>
          <w:szCs w:val="32"/>
          <w:rtl/>
        </w:rPr>
        <w:footnoteReference w:id="372"/>
      </w:r>
      <w:r w:rsidRPr="001609BB">
        <w:rPr>
          <w:rFonts w:ascii="Adobe Arabic" w:eastAsia="Times New Roman" w:hAnsi="Adobe Arabic" w:cs="Adobe Arabic"/>
          <w:color w:val="000000"/>
          <w:sz w:val="32"/>
          <w:szCs w:val="32"/>
          <w:rtl/>
        </w:rPr>
        <w:t>/ فلا تتقدّموهما فتهلكوا، ولا تقصّروا عنهما فتهلكوا، وَلَا تَعْلّمُوهُمَا فَهُمْ أَعْلَمُ مِنْكُمْ</w:t>
      </w:r>
      <w:r w:rsidR="00306B0B">
        <w:rPr>
          <w:rStyle w:val="FootnoteReference"/>
          <w:rFonts w:ascii="Adobe Arabic" w:eastAsia="Times New Roman" w:hAnsi="Adobe Arabic" w:cs="Adobe Arabic"/>
          <w:color w:val="000000"/>
          <w:sz w:val="32"/>
          <w:szCs w:val="32"/>
          <w:rtl/>
        </w:rPr>
        <w:footnoteReference w:id="373"/>
      </w:r>
      <w:r w:rsidRPr="001609BB">
        <w:rPr>
          <w:rFonts w:ascii="Adobe Arabic" w:eastAsia="Times New Roman" w:hAnsi="Adobe Arabic" w:cs="Adobe Arabic"/>
          <w:color w:val="000000"/>
          <w:sz w:val="32"/>
          <w:szCs w:val="32"/>
          <w:rtl/>
        </w:rPr>
        <w:t> / فلا تقدّموهما لتهلكوا، ولا تعلّموهما فإنّهما أعلم منكم</w:t>
      </w:r>
      <w:r w:rsidR="00306B0B">
        <w:rPr>
          <w:rStyle w:val="FootnoteReference"/>
          <w:rFonts w:ascii="Adobe Arabic" w:eastAsia="Times New Roman" w:hAnsi="Adobe Arabic" w:cs="Adobe Arabic"/>
          <w:color w:val="000000"/>
          <w:sz w:val="32"/>
          <w:szCs w:val="32"/>
          <w:rtl/>
        </w:rPr>
        <w:footnoteReference w:id="374"/>
      </w:r>
      <w:r w:rsidRPr="001609BB">
        <w:rPr>
          <w:rFonts w:ascii="Adobe Arabic" w:eastAsia="Times New Roman" w:hAnsi="Adobe Arabic" w:cs="Adobe Arabic"/>
          <w:color w:val="000000"/>
          <w:sz w:val="32"/>
          <w:szCs w:val="32"/>
          <w:rtl/>
        </w:rPr>
        <w:t>».</w:t>
      </w:r>
    </w:p>
    <w:sectPr w:rsidR="0064226D" w:rsidRPr="008711A0" w:rsidSect="00D54736">
      <w:headerReference w:type="default" r:id="rId18"/>
      <w:footnotePr>
        <w:numRestart w:val="eachPage"/>
      </w:footnotePr>
      <w:pgSz w:w="12240" w:h="15840"/>
      <w:pgMar w:top="1440"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600" w:rsidRDefault="00D71600" w:rsidP="001609BB">
      <w:pPr>
        <w:spacing w:after="0" w:line="240" w:lineRule="auto"/>
      </w:pPr>
      <w:r>
        <w:separator/>
      </w:r>
    </w:p>
  </w:endnote>
  <w:endnote w:type="continuationSeparator" w:id="0">
    <w:p w:rsidR="00D71600" w:rsidRDefault="00D71600" w:rsidP="00160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600" w:rsidRDefault="00D71600" w:rsidP="00EC7C28">
      <w:pPr>
        <w:bidi/>
        <w:spacing w:after="0" w:line="240" w:lineRule="auto"/>
      </w:pPr>
      <w:r>
        <w:separator/>
      </w:r>
    </w:p>
  </w:footnote>
  <w:footnote w:type="continuationSeparator" w:id="0">
    <w:p w:rsidR="00D71600" w:rsidRDefault="00D71600" w:rsidP="001609BB">
      <w:pPr>
        <w:spacing w:after="0" w:line="240" w:lineRule="auto"/>
      </w:pPr>
      <w:r>
        <w:continuationSeparator/>
      </w:r>
    </w:p>
  </w:footnote>
  <w:footnote w:id="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الصدوق، محمد بن علي بن الحسين بن موسى بن بابويه، الأمالي، ص500</w:t>
      </w:r>
      <w:r w:rsidRPr="00206D8A">
        <w:rPr>
          <w:rFonts w:ascii="Adobe Arabic" w:hAnsi="Adobe Arabic" w:cs="Adobe Arabic"/>
          <w:sz w:val="24"/>
          <w:szCs w:val="24"/>
        </w:rPr>
        <w:t>.</w:t>
      </w:r>
    </w:p>
  </w:footnote>
  <w:footnote w:id="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44</w:t>
      </w:r>
      <w:r w:rsidRPr="00206D8A">
        <w:rPr>
          <w:rFonts w:ascii="Adobe Arabic" w:hAnsi="Adobe Arabic" w:cs="Adobe Arabic"/>
          <w:sz w:val="24"/>
          <w:szCs w:val="24"/>
        </w:rPr>
        <w:t>.</w:t>
      </w:r>
    </w:p>
  </w:footnote>
  <w:footnote w:id="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الحشر، الآية 7</w:t>
      </w:r>
      <w:r w:rsidRPr="00206D8A">
        <w:rPr>
          <w:rFonts w:ascii="Adobe Arabic" w:hAnsi="Adobe Arabic" w:cs="Adobe Arabic"/>
          <w:sz w:val="24"/>
          <w:szCs w:val="24"/>
        </w:rPr>
        <w:t>.</w:t>
      </w:r>
    </w:p>
  </w:footnote>
  <w:footnote w:id="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طاووس، علي بن موسى، إقبال الأعمال، ج1، ص 506</w:t>
      </w:r>
      <w:r w:rsidRPr="00206D8A">
        <w:rPr>
          <w:rFonts w:ascii="Adobe Arabic" w:hAnsi="Adobe Arabic" w:cs="Adobe Arabic"/>
          <w:sz w:val="24"/>
          <w:szCs w:val="24"/>
        </w:rPr>
        <w:t>.</w:t>
      </w:r>
    </w:p>
  </w:footnote>
  <w:footnote w:id="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الزبيديّ، محمّد مرتضى الحسينيّ، تاج العروس من جواهر القاموس، تحقيق: مصطفى حجازي، الكويت، سلسلة التراث العربيّ، 1421هـ–2001م، ط1، ج35، ص230</w:t>
      </w:r>
      <w:r w:rsidRPr="00206D8A">
        <w:rPr>
          <w:rFonts w:ascii="Adobe Arabic" w:hAnsi="Adobe Arabic" w:cs="Adobe Arabic"/>
          <w:sz w:val="24"/>
          <w:szCs w:val="24"/>
        </w:rPr>
        <w:t>.</w:t>
      </w:r>
    </w:p>
  </w:footnote>
  <w:footnote w:id="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القشيريّ، مسلم بن الحجّاج، المسند الصحيح المختصر من السنن بنقل العدل عن العدل إلى رسول الله (صلى الله عليه وآله)، دار إحياء الكتب العربيّة، كتاب العلم، باب من سنّ سنّة حسنة أو سيّئة ومن دعا إلى هدى أو ضلالة، ح15، ص2059</w:t>
      </w:r>
      <w:r w:rsidRPr="00206D8A">
        <w:rPr>
          <w:rFonts w:ascii="Adobe Arabic" w:hAnsi="Adobe Arabic" w:cs="Adobe Arabic"/>
          <w:sz w:val="24"/>
          <w:szCs w:val="24"/>
        </w:rPr>
        <w:t>.</w:t>
      </w:r>
    </w:p>
  </w:footnote>
  <w:footnote w:id="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العسكريّ، أبو هلال، معجم الفروق اللغويّة، تحقيق: مؤسَّسة النشر الإسلاميّ التابعة لجماعة المدرِّسين، قمّ المقدَّسة، 1412ه‍، ط1، ص346</w:t>
      </w:r>
      <w:r w:rsidRPr="00206D8A">
        <w:rPr>
          <w:rFonts w:ascii="Adobe Arabic" w:hAnsi="Adobe Arabic" w:cs="Adobe Arabic"/>
          <w:sz w:val="24"/>
          <w:szCs w:val="24"/>
        </w:rPr>
        <w:t>.</w:t>
      </w:r>
    </w:p>
  </w:footnote>
  <w:footnote w:id="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الظاهر أنّه شمر بن حمدويه الهرويّ، أبو عمرو: لغويّ أديب. من أهل هراة (بخراسان) زار بلاد العراق في شبابه، وأخذ عن علمائها. له كتاب كبير في اللغة، ابتدأه بحرف الجيم، غرق في النهروان، ورأى منه الأزهريّ (المتوفّى سنة 370هـ) تفاريق أجزاء غير كاملة. (انظر: الزركلي، خير الدين، الأعلام، دار العلم للملايين، لبنان- بيروت، أيار - مايو 1980م، ط5، ج3، ص375)</w:t>
      </w:r>
      <w:r w:rsidRPr="00206D8A">
        <w:rPr>
          <w:rFonts w:ascii="Adobe Arabic" w:hAnsi="Adobe Arabic" w:cs="Adobe Arabic"/>
          <w:sz w:val="24"/>
          <w:szCs w:val="24"/>
        </w:rPr>
        <w:t>.</w:t>
      </w:r>
    </w:p>
  </w:footnote>
  <w:footnote w:id="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ابن منظور، جمال الدين محمّد بن مكرم، لسان العرب، نشر أدب الحوزة، قمّ – إيران، 1405ه‍- 1363ق، المجلّد الثالث عشر، ص226</w:t>
      </w:r>
      <w:r w:rsidRPr="00206D8A">
        <w:rPr>
          <w:rFonts w:ascii="Adobe Arabic" w:hAnsi="Adobe Arabic" w:cs="Adobe Arabic"/>
          <w:sz w:val="24"/>
          <w:szCs w:val="24"/>
        </w:rPr>
        <w:t>.</w:t>
      </w:r>
    </w:p>
  </w:footnote>
  <w:footnote w:id="1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وردت المادّة أيضًا بمعنى آخر قد لا يكون له صلة وثيقة بالمعنى محلّ البحث، في قوله تعالى: ﴿وَلَقَد</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خَلَق</w:t>
      </w:r>
      <w:r w:rsidRPr="00206D8A">
        <w:rPr>
          <w:rFonts w:ascii="Sakkal Majalla" w:hAnsi="Sakkal Majalla" w:cs="Sakkal Majalla" w:hint="cs"/>
          <w:sz w:val="24"/>
          <w:szCs w:val="24"/>
          <w:rtl/>
        </w:rPr>
        <w:t>ۡ</w:t>
      </w:r>
      <w:r w:rsidRPr="00206D8A">
        <w:rPr>
          <w:rFonts w:ascii="Adobe Arabic" w:hAnsi="Adobe Arabic" w:cs="Adobe Arabic"/>
          <w:sz w:val="24"/>
          <w:szCs w:val="24"/>
          <w:rtl/>
        </w:rPr>
        <w:t>نَا ٱل</w:t>
      </w:r>
      <w:r w:rsidRPr="00206D8A">
        <w:rPr>
          <w:rFonts w:ascii="Sakkal Majalla" w:hAnsi="Sakkal Majalla" w:cs="Sakkal Majalla" w:hint="cs"/>
          <w:sz w:val="24"/>
          <w:szCs w:val="24"/>
          <w:rtl/>
        </w:rPr>
        <w:t>ۡ</w:t>
      </w:r>
      <w:r w:rsidRPr="00206D8A">
        <w:rPr>
          <w:rFonts w:ascii="Adobe Arabic" w:hAnsi="Adobe Arabic" w:cs="Adobe Arabic"/>
          <w:sz w:val="24"/>
          <w:szCs w:val="24"/>
          <w:rtl/>
        </w:rPr>
        <w:t>إِنسَٰنَ مِن صَل</w:t>
      </w:r>
      <w:r w:rsidRPr="00206D8A">
        <w:rPr>
          <w:rFonts w:ascii="Sakkal Majalla" w:hAnsi="Sakkal Majalla" w:cs="Sakkal Majalla" w:hint="cs"/>
          <w:sz w:val="24"/>
          <w:szCs w:val="24"/>
          <w:rtl/>
        </w:rPr>
        <w:t>ۡ</w:t>
      </w:r>
      <w:r w:rsidRPr="00206D8A">
        <w:rPr>
          <w:rFonts w:ascii="Adobe Arabic" w:hAnsi="Adobe Arabic" w:cs="Adobe Arabic"/>
          <w:sz w:val="24"/>
          <w:szCs w:val="24"/>
          <w:rtl/>
        </w:rPr>
        <w:t>صَٰل مِّن</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حَمَإ مَّس</w:t>
      </w:r>
      <w:r w:rsidRPr="00206D8A">
        <w:rPr>
          <w:rFonts w:ascii="Sakkal Majalla" w:hAnsi="Sakkal Majalla" w:cs="Sakkal Majalla" w:hint="cs"/>
          <w:sz w:val="24"/>
          <w:szCs w:val="24"/>
          <w:rtl/>
        </w:rPr>
        <w:t>ۡ</w:t>
      </w:r>
      <w:r w:rsidRPr="00206D8A">
        <w:rPr>
          <w:rFonts w:ascii="Adobe Arabic" w:hAnsi="Adobe Arabic" w:cs="Adobe Arabic"/>
          <w:sz w:val="24"/>
          <w:szCs w:val="24"/>
          <w:rtl/>
        </w:rPr>
        <w:t>نُون﴾ (الحجر 26). قال ابن منظور في اللسان: "والمسنون: المنتن. وقوله تعالى: (من حمأ مسنون)، قال أبو عمرو: أي متغيّر منتن، وقال أبو الهيثم: سَنَّ الماء فهو مسنون؛ أي تغيّر، وقال الزجاج مسنون مصبوب على سنّة الطريق، قال الأخفش: وإنّما يتغيّر إذا أقام بغير ماء جار، قال: ويدلّك على صحّة قوله أنّ مسنون اسم مفعول جار على سنّ، وليس بمعروف، وقال بعضهم: مسنون طوله، جعله طويلًا مستويًا. يُقال: رجل مسنون الوجه؛ أي حسن الوجه طويله، وقال ابن عبّاس: هو الرطب، ويُقال المنتن. وقال أبو عبيدة: المسنون المصبوب. ويُقال: المسنون المصبوب على صورة، وقال: الوجه المسنون سُمِّي مسنونًا لأنَّه كالمخروط" (ابن منظور، لسان العرب، مصدر سابق، ج13، ص227)</w:t>
      </w:r>
      <w:r w:rsidRPr="00206D8A">
        <w:rPr>
          <w:rFonts w:ascii="Adobe Arabic" w:hAnsi="Adobe Arabic" w:cs="Adobe Arabic"/>
          <w:sz w:val="24"/>
          <w:szCs w:val="24"/>
        </w:rPr>
        <w:t>.</w:t>
      </w:r>
    </w:p>
  </w:footnote>
  <w:footnote w:id="1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الأنفال، الآية 38</w:t>
      </w:r>
      <w:r w:rsidRPr="00206D8A">
        <w:rPr>
          <w:rFonts w:ascii="Adobe Arabic" w:hAnsi="Adobe Arabic" w:cs="Adobe Arabic"/>
          <w:sz w:val="24"/>
          <w:szCs w:val="24"/>
        </w:rPr>
        <w:t>.</w:t>
      </w:r>
    </w:p>
  </w:footnote>
  <w:footnote w:id="1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الحجر، الآية 13</w:t>
      </w:r>
      <w:r w:rsidRPr="00206D8A">
        <w:rPr>
          <w:rFonts w:ascii="Adobe Arabic" w:hAnsi="Adobe Arabic" w:cs="Adobe Arabic"/>
          <w:sz w:val="24"/>
          <w:szCs w:val="24"/>
        </w:rPr>
        <w:t>.</w:t>
      </w:r>
    </w:p>
  </w:footnote>
  <w:footnote w:id="1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الإسراء، الآيتان 76 – 77</w:t>
      </w:r>
      <w:r w:rsidRPr="00206D8A">
        <w:rPr>
          <w:rFonts w:ascii="Adobe Arabic" w:hAnsi="Adobe Arabic" w:cs="Adobe Arabic"/>
          <w:sz w:val="24"/>
          <w:szCs w:val="24"/>
        </w:rPr>
        <w:t>.</w:t>
      </w:r>
    </w:p>
  </w:footnote>
  <w:footnote w:id="1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الكهف، الآية 55</w:t>
      </w:r>
      <w:r w:rsidRPr="00206D8A">
        <w:rPr>
          <w:rFonts w:ascii="Adobe Arabic" w:hAnsi="Adobe Arabic" w:cs="Adobe Arabic"/>
          <w:sz w:val="24"/>
          <w:szCs w:val="24"/>
        </w:rPr>
        <w:t>.</w:t>
      </w:r>
    </w:p>
  </w:footnote>
  <w:footnote w:id="1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الآيات 60 – 62</w:t>
      </w:r>
      <w:r w:rsidRPr="00206D8A">
        <w:rPr>
          <w:rFonts w:ascii="Adobe Arabic" w:hAnsi="Adobe Arabic" w:cs="Adobe Arabic"/>
          <w:sz w:val="24"/>
          <w:szCs w:val="24"/>
        </w:rPr>
        <w:t>.</w:t>
      </w:r>
    </w:p>
  </w:footnote>
  <w:footnote w:id="1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فاطر، الآيتان 42 – 43</w:t>
      </w:r>
      <w:r w:rsidRPr="00206D8A">
        <w:rPr>
          <w:rFonts w:ascii="Adobe Arabic" w:hAnsi="Adobe Arabic" w:cs="Adobe Arabic"/>
          <w:sz w:val="24"/>
          <w:szCs w:val="24"/>
        </w:rPr>
        <w:t>.</w:t>
      </w:r>
    </w:p>
  </w:footnote>
  <w:footnote w:id="1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غافر، الآية 85</w:t>
      </w:r>
      <w:r w:rsidRPr="00206D8A">
        <w:rPr>
          <w:rFonts w:ascii="Adobe Arabic" w:hAnsi="Adobe Arabic" w:cs="Adobe Arabic"/>
          <w:sz w:val="24"/>
          <w:szCs w:val="24"/>
        </w:rPr>
        <w:t>.</w:t>
      </w:r>
    </w:p>
  </w:footnote>
  <w:footnote w:id="1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الفتح، الآيتان 22 – 23</w:t>
      </w:r>
      <w:r w:rsidRPr="00206D8A">
        <w:rPr>
          <w:rFonts w:ascii="Adobe Arabic" w:hAnsi="Adobe Arabic" w:cs="Adobe Arabic"/>
          <w:sz w:val="24"/>
          <w:szCs w:val="24"/>
        </w:rPr>
        <w:t>.</w:t>
      </w:r>
      <w:r w:rsidRPr="00206D8A">
        <w:rPr>
          <w:rFonts w:ascii="Adobe Arabic" w:hAnsi="Adobe Arabic" w:cs="Adobe Arabic"/>
          <w:sz w:val="24"/>
          <w:szCs w:val="24"/>
          <w:rtl/>
        </w:rPr>
        <w:t xml:space="preserve"> </w:t>
      </w:r>
    </w:p>
  </w:footnote>
  <w:footnote w:id="1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137</w:t>
      </w:r>
      <w:r w:rsidRPr="00206D8A">
        <w:rPr>
          <w:rFonts w:ascii="Adobe Arabic" w:hAnsi="Adobe Arabic" w:cs="Adobe Arabic"/>
          <w:sz w:val="24"/>
          <w:szCs w:val="24"/>
        </w:rPr>
        <w:t>.</w:t>
      </w:r>
    </w:p>
  </w:footnote>
  <w:footnote w:id="2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26</w:t>
      </w:r>
      <w:r w:rsidRPr="00206D8A">
        <w:rPr>
          <w:rFonts w:ascii="Adobe Arabic" w:hAnsi="Adobe Arabic" w:cs="Adobe Arabic"/>
          <w:sz w:val="24"/>
          <w:szCs w:val="24"/>
        </w:rPr>
        <w:t>.</w:t>
      </w:r>
    </w:p>
  </w:footnote>
  <w:footnote w:id="2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الآيتان 37 – 38</w:t>
      </w:r>
      <w:r w:rsidRPr="00206D8A">
        <w:rPr>
          <w:rFonts w:ascii="Adobe Arabic" w:hAnsi="Adobe Arabic" w:cs="Adobe Arabic"/>
          <w:sz w:val="24"/>
          <w:szCs w:val="24"/>
        </w:rPr>
        <w:t>.</w:t>
      </w:r>
    </w:p>
  </w:footnote>
  <w:footnote w:id="2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الطبريّ، أبو جعفر محمّد بن جرير، جامع البيان في تأويل القرآن، لا.ت، لا.ط، قدّم له الشيخ خليل الميس، ضبط وتوثيق وتخريج صدقي جميل العطّار، دار الفكر للطباعة والنشر والتوزيع، ج5، ص38</w:t>
      </w:r>
      <w:r w:rsidRPr="00206D8A">
        <w:rPr>
          <w:rFonts w:ascii="Adobe Arabic" w:hAnsi="Adobe Arabic" w:cs="Adobe Arabic"/>
          <w:sz w:val="24"/>
          <w:szCs w:val="24"/>
        </w:rPr>
        <w:t>.</w:t>
      </w:r>
    </w:p>
  </w:footnote>
  <w:footnote w:id="2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القرطبيّ، أبو عبد الله محمّد بن أحمد الأنصاريّ، الجامع لأحكام القرآن، ضبطه وحقّقه وقابل مخطوطاته "سالم مصطفى البدريّ"، دار الكتب العلميّة، بيروت – لبنان، لا.ت، لا.ط، المجلّد 3، ج5، ص98</w:t>
      </w:r>
      <w:r w:rsidRPr="00206D8A">
        <w:rPr>
          <w:rFonts w:ascii="Adobe Arabic" w:hAnsi="Adobe Arabic" w:cs="Adobe Arabic"/>
          <w:sz w:val="24"/>
          <w:szCs w:val="24"/>
        </w:rPr>
        <w:t>.</w:t>
      </w:r>
    </w:p>
  </w:footnote>
  <w:footnote w:id="2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بهاء الدين العامّليّ، الشيخ محمّد بن حسين، زبدة الأصول، تحقيق: السيّد عليّ جبّار كلباغيماسوله، انتشارات دار البشير، ط1، 1383ه‍.ش- 1425ه‍.ق، ص180</w:t>
      </w:r>
      <w:r w:rsidRPr="00206D8A">
        <w:rPr>
          <w:rFonts w:ascii="Adobe Arabic" w:hAnsi="Adobe Arabic" w:cs="Adobe Arabic"/>
          <w:sz w:val="24"/>
          <w:szCs w:val="24"/>
        </w:rPr>
        <w:t>.</w:t>
      </w:r>
    </w:p>
  </w:footnote>
  <w:footnote w:id="2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المامقانيّ، الشيخ عبد الله، مقباس الهداية في علم الدراية، تحقيق: الشيخ محمّد رضا المامقاني، مؤسَّسة آل البيت (عليهم السلام) لإحياء التراث، ط1، 1411ه‍، ج1، ص69. وانظر: الشيخ محمد رضا المظفر، أصول الفقه، مؤسسة النشر الإسلامي التابعة لجماعة المدرسين بقم المشرفة، إيران- قم، لا.ت، لا.ط، ج3، ص64</w:t>
      </w:r>
      <w:r w:rsidRPr="00206D8A">
        <w:rPr>
          <w:rFonts w:ascii="Adobe Arabic" w:hAnsi="Adobe Arabic" w:cs="Adobe Arabic"/>
          <w:sz w:val="24"/>
          <w:szCs w:val="24"/>
        </w:rPr>
        <w:t>.</w:t>
      </w:r>
    </w:p>
  </w:footnote>
  <w:footnote w:id="2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المظفّر، أصول الفقه، مصدر سابق، ج3، ص64</w:t>
      </w:r>
      <w:r w:rsidRPr="00206D8A">
        <w:rPr>
          <w:rFonts w:ascii="Adobe Arabic" w:hAnsi="Adobe Arabic" w:cs="Adobe Arabic"/>
          <w:sz w:val="24"/>
          <w:szCs w:val="24"/>
        </w:rPr>
        <w:t>.</w:t>
      </w:r>
    </w:p>
  </w:footnote>
  <w:footnote w:id="2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لعلّه في اصطلاح بعض أعلام علمَي الحديث والدراية</w:t>
      </w:r>
      <w:r w:rsidRPr="00206D8A">
        <w:rPr>
          <w:rFonts w:ascii="Adobe Arabic" w:hAnsi="Adobe Arabic" w:cs="Adobe Arabic"/>
          <w:sz w:val="24"/>
          <w:szCs w:val="24"/>
        </w:rPr>
        <w:t>.</w:t>
      </w:r>
    </w:p>
  </w:footnote>
  <w:footnote w:id="2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العامّليّ، الشيخ حسين بن عبد الصمد، وصول الأخيار إلى أصول الأخبار، تحقيق: جعفر المجاهدي وعطاء الله الرسولي، العتبة الحسينيّة المقدَّسة، ط1، 1436هـ–2015م، ص128</w:t>
      </w:r>
      <w:r w:rsidRPr="00206D8A">
        <w:rPr>
          <w:rFonts w:ascii="Adobe Arabic" w:hAnsi="Adobe Arabic" w:cs="Adobe Arabic"/>
          <w:sz w:val="24"/>
          <w:szCs w:val="24"/>
        </w:rPr>
        <w:t>.</w:t>
      </w:r>
    </w:p>
  </w:footnote>
  <w:footnote w:id="2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صنقور علي، محمّد، المعجم الأصوليّ، مطبعة عترت، ط1، 1421ه‍، ص638-639</w:t>
      </w:r>
      <w:r w:rsidRPr="00206D8A">
        <w:rPr>
          <w:rFonts w:ascii="Adobe Arabic" w:hAnsi="Adobe Arabic" w:cs="Adobe Arabic"/>
          <w:sz w:val="24"/>
          <w:szCs w:val="24"/>
        </w:rPr>
        <w:t>.</w:t>
      </w:r>
    </w:p>
  </w:footnote>
  <w:footnote w:id="3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الزخرف، الآيات 2 - 4</w:t>
      </w:r>
      <w:r w:rsidRPr="00206D8A">
        <w:rPr>
          <w:rFonts w:ascii="Adobe Arabic" w:hAnsi="Adobe Arabic" w:cs="Adobe Arabic"/>
          <w:sz w:val="24"/>
          <w:szCs w:val="24"/>
        </w:rPr>
        <w:t>.</w:t>
      </w:r>
    </w:p>
  </w:footnote>
  <w:footnote w:id="3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الواقعة، الآيات 75 - 80</w:t>
      </w:r>
      <w:r w:rsidRPr="00206D8A">
        <w:rPr>
          <w:rFonts w:ascii="Adobe Arabic" w:hAnsi="Adobe Arabic" w:cs="Adobe Arabic"/>
          <w:sz w:val="24"/>
          <w:szCs w:val="24"/>
        </w:rPr>
        <w:t>.</w:t>
      </w:r>
    </w:p>
  </w:footnote>
  <w:footnote w:id="3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البروج، الآيتان 21 - 22</w:t>
      </w:r>
      <w:r w:rsidRPr="00206D8A">
        <w:rPr>
          <w:rFonts w:ascii="Adobe Arabic" w:hAnsi="Adobe Arabic" w:cs="Adobe Arabic"/>
          <w:sz w:val="24"/>
          <w:szCs w:val="24"/>
        </w:rPr>
        <w:t>.</w:t>
      </w:r>
    </w:p>
  </w:footnote>
  <w:footnote w:id="3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العنكبوت، الآية 43</w:t>
      </w:r>
      <w:r w:rsidRPr="00206D8A">
        <w:rPr>
          <w:rFonts w:ascii="Adobe Arabic" w:hAnsi="Adobe Arabic" w:cs="Adobe Arabic"/>
          <w:sz w:val="24"/>
          <w:szCs w:val="24"/>
        </w:rPr>
        <w:t>.</w:t>
      </w:r>
    </w:p>
  </w:footnote>
  <w:footnote w:id="3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البروج، الآية 22</w:t>
      </w:r>
      <w:r w:rsidRPr="00206D8A">
        <w:rPr>
          <w:rFonts w:ascii="Adobe Arabic" w:hAnsi="Adobe Arabic" w:cs="Adobe Arabic"/>
          <w:sz w:val="24"/>
          <w:szCs w:val="24"/>
        </w:rPr>
        <w:t>.</w:t>
      </w:r>
    </w:p>
  </w:footnote>
  <w:footnote w:id="3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الطباطبائيّ، محمّد حسين، الميزان في تفسير القرآن، مؤسَّسة الأعلميّ، بيروت – لبنان، ط1، 1997م، ج18، ص84-85</w:t>
      </w:r>
      <w:r w:rsidRPr="00206D8A">
        <w:rPr>
          <w:rFonts w:ascii="Adobe Arabic" w:hAnsi="Adobe Arabic" w:cs="Adobe Arabic"/>
          <w:sz w:val="24"/>
          <w:szCs w:val="24"/>
        </w:rPr>
        <w:t>.</w:t>
      </w:r>
    </w:p>
  </w:footnote>
  <w:footnote w:id="3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السبكيّ، تاج الدين عبد الوهاب بن عليّ، جمع الجوامع في أصول الفقه، منشورات محمّد عليّ بيضون، دار الكتب العلميّة، بيروت لبنان، ط2، 1424هـ- 2002م، ص21</w:t>
      </w:r>
      <w:r w:rsidRPr="00206D8A">
        <w:rPr>
          <w:rFonts w:ascii="Adobe Arabic" w:hAnsi="Adobe Arabic" w:cs="Adobe Arabic"/>
          <w:sz w:val="24"/>
          <w:szCs w:val="24"/>
        </w:rPr>
        <w:t>.</w:t>
      </w:r>
    </w:p>
  </w:footnote>
  <w:footnote w:id="3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الزبيديّ، تاج العروس، مصدر سابق، ج5، ص464</w:t>
      </w:r>
      <w:r w:rsidRPr="00206D8A">
        <w:rPr>
          <w:rFonts w:ascii="Adobe Arabic" w:hAnsi="Adobe Arabic" w:cs="Adobe Arabic"/>
          <w:sz w:val="24"/>
          <w:szCs w:val="24"/>
        </w:rPr>
        <w:t>.</w:t>
      </w:r>
    </w:p>
  </w:footnote>
  <w:footnote w:id="3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فارس، أحمد بن فارسبن زكريا، معجم مقاييس اللغة، تحقيق: عبد السلام محمد هارون، مكتبة الإعلام الإسلامي، إيران- قم، 1404هـ، ط1، ج2، ص29</w:t>
      </w:r>
      <w:r w:rsidRPr="00206D8A">
        <w:rPr>
          <w:rFonts w:ascii="Adobe Arabic" w:hAnsi="Adobe Arabic" w:cs="Adobe Arabic"/>
          <w:sz w:val="24"/>
          <w:szCs w:val="24"/>
        </w:rPr>
        <w:t>.</w:t>
      </w:r>
    </w:p>
  </w:footnote>
  <w:footnote w:id="3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صنقور، المعجم الأصوليّ، مصدر سابق، ص499</w:t>
      </w:r>
      <w:r w:rsidRPr="00206D8A">
        <w:rPr>
          <w:rFonts w:ascii="Adobe Arabic" w:hAnsi="Adobe Arabic" w:cs="Adobe Arabic"/>
          <w:sz w:val="24"/>
          <w:szCs w:val="24"/>
        </w:rPr>
        <w:t>.</w:t>
      </w:r>
    </w:p>
  </w:footnote>
  <w:footnote w:id="4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صنقور، المعجم الأصوليّ، مصدر سابق، ص500–501</w:t>
      </w:r>
      <w:r w:rsidRPr="00206D8A">
        <w:rPr>
          <w:rFonts w:ascii="Adobe Arabic" w:hAnsi="Adobe Arabic" w:cs="Adobe Arabic"/>
          <w:sz w:val="24"/>
          <w:szCs w:val="24"/>
        </w:rPr>
        <w:t>.</w:t>
      </w:r>
    </w:p>
  </w:footnote>
  <w:footnote w:id="4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النائينيّ، محمّد حسين، فوائد الأصول، تحقيق: الشيخ رحمت الله الأراكي، مؤسَّسة النشر الإسلاميّ التابعة لجماعة المدرّسين، لا.ت، لا.ط، ج3، ص7</w:t>
      </w:r>
      <w:r w:rsidRPr="00206D8A">
        <w:rPr>
          <w:rFonts w:ascii="Adobe Arabic" w:hAnsi="Adobe Arabic" w:cs="Adobe Arabic"/>
          <w:sz w:val="24"/>
          <w:szCs w:val="24"/>
        </w:rPr>
        <w:t>.</w:t>
      </w:r>
    </w:p>
  </w:footnote>
  <w:footnote w:id="4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صنقور، المعجم الأصوليّ، مصدر سابق، ص501-502</w:t>
      </w:r>
      <w:r w:rsidRPr="00206D8A">
        <w:rPr>
          <w:rFonts w:ascii="Adobe Arabic" w:hAnsi="Adobe Arabic" w:cs="Adobe Arabic"/>
          <w:sz w:val="24"/>
          <w:szCs w:val="24"/>
        </w:rPr>
        <w:t>.</w:t>
      </w:r>
    </w:p>
  </w:footnote>
  <w:footnote w:id="4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وفق بعض الرؤى</w:t>
      </w:r>
      <w:r w:rsidRPr="00206D8A">
        <w:rPr>
          <w:rFonts w:ascii="Adobe Arabic" w:hAnsi="Adobe Arabic" w:cs="Adobe Arabic"/>
          <w:sz w:val="24"/>
          <w:szCs w:val="24"/>
        </w:rPr>
        <w:t>.</w:t>
      </w:r>
    </w:p>
  </w:footnote>
  <w:footnote w:id="4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نقصد بالحجّيّة هنا إثبات الصدور عن الله تعالى</w:t>
      </w:r>
      <w:r w:rsidRPr="00206D8A">
        <w:rPr>
          <w:rFonts w:ascii="Adobe Arabic" w:hAnsi="Adobe Arabic" w:cs="Adobe Arabic"/>
          <w:sz w:val="24"/>
          <w:szCs w:val="24"/>
        </w:rPr>
        <w:t>.</w:t>
      </w:r>
    </w:p>
  </w:footnote>
  <w:footnote w:id="4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محمّد تقي، الأصول العامّة للفقه المقارن، المجمع العالميّ لأهل البيت، ط3، 1432ه‍ - 2011م، ص94</w:t>
      </w:r>
      <w:r w:rsidRPr="00206D8A">
        <w:rPr>
          <w:rFonts w:ascii="Adobe Arabic" w:hAnsi="Adobe Arabic" w:cs="Adobe Arabic"/>
          <w:sz w:val="24"/>
          <w:szCs w:val="24"/>
        </w:rPr>
        <w:t>.</w:t>
      </w:r>
    </w:p>
  </w:footnote>
  <w:footnote w:id="4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7</w:t>
      </w:r>
      <w:r w:rsidRPr="00206D8A">
        <w:rPr>
          <w:rFonts w:ascii="Adobe Arabic" w:hAnsi="Adobe Arabic" w:cs="Adobe Arabic"/>
          <w:sz w:val="24"/>
          <w:szCs w:val="24"/>
        </w:rPr>
        <w:t>.</w:t>
      </w:r>
    </w:p>
  </w:footnote>
  <w:footnote w:id="4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منظور، لسان العرب، مصدر سابق، ج13، ص503</w:t>
      </w:r>
      <w:r w:rsidRPr="00206D8A">
        <w:rPr>
          <w:rFonts w:ascii="Adobe Arabic" w:hAnsi="Adobe Arabic" w:cs="Adobe Arabic"/>
          <w:sz w:val="24"/>
          <w:szCs w:val="24"/>
        </w:rPr>
        <w:t>.</w:t>
      </w:r>
    </w:p>
  </w:footnote>
  <w:footnote w:id="4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ج12، ص143</w:t>
      </w:r>
      <w:r w:rsidRPr="00206D8A">
        <w:rPr>
          <w:rFonts w:ascii="Adobe Arabic" w:hAnsi="Adobe Arabic" w:cs="Adobe Arabic"/>
          <w:sz w:val="24"/>
          <w:szCs w:val="24"/>
        </w:rPr>
        <w:t>.</w:t>
      </w:r>
    </w:p>
  </w:footnote>
  <w:footnote w:id="4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هود، الآية 1</w:t>
      </w:r>
      <w:r w:rsidRPr="00206D8A">
        <w:rPr>
          <w:rFonts w:ascii="Adobe Arabic" w:hAnsi="Adobe Arabic" w:cs="Adobe Arabic"/>
          <w:sz w:val="24"/>
          <w:szCs w:val="24"/>
        </w:rPr>
        <w:t>.</w:t>
      </w:r>
    </w:p>
  </w:footnote>
  <w:footnote w:id="5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ابن منظور، لسان العرب، مصدر سابق، ج12، ص143</w:t>
      </w:r>
      <w:r w:rsidRPr="00206D8A">
        <w:rPr>
          <w:rFonts w:ascii="Adobe Arabic" w:hAnsi="Adobe Arabic" w:cs="Adobe Arabic"/>
          <w:sz w:val="24"/>
          <w:szCs w:val="24"/>
        </w:rPr>
        <w:t>.</w:t>
      </w:r>
    </w:p>
  </w:footnote>
  <w:footnote w:id="5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يونس، الآية 1</w:t>
      </w:r>
      <w:r w:rsidRPr="00206D8A">
        <w:rPr>
          <w:rFonts w:ascii="Adobe Arabic" w:hAnsi="Adobe Arabic" w:cs="Adobe Arabic"/>
          <w:sz w:val="24"/>
          <w:szCs w:val="24"/>
        </w:rPr>
        <w:t>.</w:t>
      </w:r>
    </w:p>
  </w:footnote>
  <w:footnote w:id="5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الزمر، الآية 23</w:t>
      </w:r>
      <w:r w:rsidRPr="00206D8A">
        <w:rPr>
          <w:rFonts w:ascii="Adobe Arabic" w:hAnsi="Adobe Arabic" w:cs="Adobe Arabic"/>
          <w:sz w:val="24"/>
          <w:szCs w:val="24"/>
        </w:rPr>
        <w:t>.</w:t>
      </w:r>
    </w:p>
  </w:footnote>
  <w:footnote w:id="5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ج3، ص22-23</w:t>
      </w:r>
      <w:r w:rsidRPr="00206D8A">
        <w:rPr>
          <w:rFonts w:ascii="Adobe Arabic" w:hAnsi="Adobe Arabic" w:cs="Adobe Arabic"/>
          <w:sz w:val="24"/>
          <w:szCs w:val="24"/>
        </w:rPr>
        <w:t>.</w:t>
      </w:r>
    </w:p>
  </w:footnote>
  <w:footnote w:id="5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الزمر، الآية 23</w:t>
      </w:r>
      <w:r w:rsidRPr="00206D8A">
        <w:rPr>
          <w:rFonts w:ascii="Adobe Arabic" w:hAnsi="Adobe Arabic" w:cs="Adobe Arabic"/>
          <w:sz w:val="24"/>
          <w:szCs w:val="24"/>
        </w:rPr>
        <w:t>.</w:t>
      </w:r>
    </w:p>
  </w:footnote>
  <w:footnote w:id="5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82</w:t>
      </w:r>
      <w:r w:rsidRPr="00206D8A">
        <w:rPr>
          <w:rFonts w:ascii="Adobe Arabic" w:hAnsi="Adobe Arabic" w:cs="Adobe Arabic"/>
          <w:sz w:val="24"/>
          <w:szCs w:val="24"/>
        </w:rPr>
        <w:t>.</w:t>
      </w:r>
    </w:p>
  </w:footnote>
  <w:footnote w:id="5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محمّد باقر، علوم القرآن، مجمع الفكر الإسلاميّ، قمّ، ط3، ربيع الثاني 1417ه‍.ق، ص168</w:t>
      </w:r>
      <w:r w:rsidRPr="00206D8A">
        <w:rPr>
          <w:rFonts w:ascii="Adobe Arabic" w:hAnsi="Adobe Arabic" w:cs="Adobe Arabic"/>
          <w:sz w:val="24"/>
          <w:szCs w:val="24"/>
        </w:rPr>
        <w:t>.</w:t>
      </w:r>
    </w:p>
  </w:footnote>
  <w:footnote w:id="5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البقرة، الآية 25</w:t>
      </w:r>
      <w:r w:rsidRPr="00206D8A">
        <w:rPr>
          <w:rFonts w:ascii="Adobe Arabic" w:hAnsi="Adobe Arabic" w:cs="Adobe Arabic"/>
          <w:sz w:val="24"/>
          <w:szCs w:val="24"/>
        </w:rPr>
        <w:t>.</w:t>
      </w:r>
    </w:p>
  </w:footnote>
  <w:footnote w:id="5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الأنعام، الآية 99</w:t>
      </w:r>
      <w:r w:rsidRPr="00206D8A">
        <w:rPr>
          <w:rFonts w:ascii="Adobe Arabic" w:hAnsi="Adobe Arabic" w:cs="Adobe Arabic"/>
          <w:sz w:val="24"/>
          <w:szCs w:val="24"/>
        </w:rPr>
        <w:t>.</w:t>
      </w:r>
    </w:p>
  </w:footnote>
  <w:footnote w:id="5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الأنعام، الآية 141</w:t>
      </w:r>
      <w:r w:rsidRPr="00206D8A">
        <w:rPr>
          <w:rFonts w:ascii="Adobe Arabic" w:hAnsi="Adobe Arabic" w:cs="Adobe Arabic"/>
          <w:sz w:val="24"/>
          <w:szCs w:val="24"/>
        </w:rPr>
        <w:t>.</w:t>
      </w:r>
    </w:p>
  </w:footnote>
  <w:footnote w:id="6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وثمّة كثير من الأقوال التي تُنسَب إلى بعض الصحابة والعلماء، تحصر الآيات المحكمات والمتشابهات في آيات معيّنة، كآيات الأحكام (المحكمات) وآيات الصفات (المتشابهات)، ولا دليل ولا معيار لمثل هذه الأقوال. لذا، طوينا عنها كشحًا</w:t>
      </w:r>
      <w:r w:rsidRPr="00206D8A">
        <w:rPr>
          <w:rFonts w:ascii="Adobe Arabic" w:hAnsi="Adobe Arabic" w:cs="Adobe Arabic"/>
          <w:sz w:val="24"/>
          <w:szCs w:val="24"/>
        </w:rPr>
        <w:t>.</w:t>
      </w:r>
    </w:p>
  </w:footnote>
  <w:footnote w:id="6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الرازيّ، فخر الدين أبو عبد الله محمّد بن عمر بن حسين، التفسير الكبير، دار الكتب العلميّة، بيروت – لبنان، 1425هـ - 2004م، سورة آل عمران، تفسير قوله تعالى: ﴿هُوَ ٱلَّذِيٓ أَنزَلَ عَلَي</w:t>
      </w:r>
      <w:r w:rsidRPr="00206D8A">
        <w:rPr>
          <w:rFonts w:ascii="Sakkal Majalla" w:hAnsi="Sakkal Majalla" w:cs="Sakkal Majalla" w:hint="cs"/>
          <w:sz w:val="24"/>
          <w:szCs w:val="24"/>
          <w:rtl/>
        </w:rPr>
        <w:t>ۡ</w:t>
      </w:r>
      <w:r w:rsidRPr="00206D8A">
        <w:rPr>
          <w:rFonts w:ascii="Adobe Arabic" w:hAnsi="Adobe Arabic" w:cs="Adobe Arabic"/>
          <w:sz w:val="24"/>
          <w:szCs w:val="24"/>
          <w:rtl/>
        </w:rPr>
        <w:t>كَ ٱل</w:t>
      </w:r>
      <w:r w:rsidRPr="00206D8A">
        <w:rPr>
          <w:rFonts w:ascii="Sakkal Majalla" w:hAnsi="Sakkal Majalla" w:cs="Sakkal Majalla" w:hint="cs"/>
          <w:sz w:val="24"/>
          <w:szCs w:val="24"/>
          <w:rtl/>
        </w:rPr>
        <w:t>ۡ</w:t>
      </w:r>
      <w:r w:rsidRPr="00206D8A">
        <w:rPr>
          <w:rFonts w:ascii="Adobe Arabic" w:hAnsi="Adobe Arabic" w:cs="Adobe Arabic"/>
          <w:sz w:val="24"/>
          <w:szCs w:val="24"/>
          <w:rtl/>
        </w:rPr>
        <w:t>كِتَٰبَ مِن</w:t>
      </w:r>
      <w:r w:rsidRPr="00206D8A">
        <w:rPr>
          <w:rFonts w:ascii="Sakkal Majalla" w:hAnsi="Sakkal Majalla" w:cs="Sakkal Majalla" w:hint="cs"/>
          <w:sz w:val="24"/>
          <w:szCs w:val="24"/>
          <w:rtl/>
        </w:rPr>
        <w:t>ۡ</w:t>
      </w:r>
      <w:r w:rsidRPr="00206D8A">
        <w:rPr>
          <w:rFonts w:ascii="Adobe Arabic" w:hAnsi="Adobe Arabic" w:cs="Adobe Arabic"/>
          <w:sz w:val="24"/>
          <w:szCs w:val="24"/>
          <w:rtl/>
        </w:rPr>
        <w:t>هُ ءَايَٰت مُّح</w:t>
      </w:r>
      <w:r w:rsidRPr="00206D8A">
        <w:rPr>
          <w:rFonts w:ascii="Sakkal Majalla" w:hAnsi="Sakkal Majalla" w:cs="Sakkal Majalla" w:hint="cs"/>
          <w:sz w:val="24"/>
          <w:szCs w:val="24"/>
          <w:rtl/>
        </w:rPr>
        <w:t>ۡ</w:t>
      </w:r>
      <w:r w:rsidRPr="00206D8A">
        <w:rPr>
          <w:rFonts w:ascii="Adobe Arabic" w:hAnsi="Adobe Arabic" w:cs="Adobe Arabic"/>
          <w:sz w:val="24"/>
          <w:szCs w:val="24"/>
          <w:rtl/>
        </w:rPr>
        <w:t>كَمَٰتٌ﴾. وانظر: الحكيم، محمّد باقر، علوم القرآن، مصدر سابق، ص172</w:t>
      </w:r>
      <w:r w:rsidRPr="00206D8A">
        <w:rPr>
          <w:rFonts w:ascii="Adobe Arabic" w:hAnsi="Adobe Arabic" w:cs="Adobe Arabic"/>
          <w:sz w:val="24"/>
          <w:szCs w:val="24"/>
        </w:rPr>
        <w:t>.</w:t>
      </w:r>
    </w:p>
  </w:footnote>
  <w:footnote w:id="6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ج3، ص42</w:t>
      </w:r>
      <w:r w:rsidRPr="00206D8A">
        <w:rPr>
          <w:rFonts w:ascii="Adobe Arabic" w:hAnsi="Adobe Arabic" w:cs="Adobe Arabic"/>
          <w:sz w:val="24"/>
          <w:szCs w:val="24"/>
        </w:rPr>
        <w:t>.</w:t>
      </w:r>
    </w:p>
  </w:footnote>
  <w:footnote w:id="6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طه، الآية 5</w:t>
      </w:r>
      <w:r w:rsidRPr="00206D8A">
        <w:rPr>
          <w:rFonts w:ascii="Adobe Arabic" w:hAnsi="Adobe Arabic" w:cs="Adobe Arabic"/>
          <w:sz w:val="24"/>
          <w:szCs w:val="24"/>
        </w:rPr>
        <w:t>.</w:t>
      </w:r>
    </w:p>
  </w:footnote>
  <w:footnote w:id="6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الشورى، الآية 11</w:t>
      </w:r>
      <w:r w:rsidRPr="00206D8A">
        <w:rPr>
          <w:rFonts w:ascii="Adobe Arabic" w:hAnsi="Adobe Arabic" w:cs="Adobe Arabic"/>
          <w:sz w:val="24"/>
          <w:szCs w:val="24"/>
        </w:rPr>
        <w:t>.</w:t>
      </w:r>
    </w:p>
  </w:footnote>
  <w:footnote w:id="6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ج3، ص23-24</w:t>
      </w:r>
      <w:r w:rsidRPr="00206D8A">
        <w:rPr>
          <w:rFonts w:ascii="Adobe Arabic" w:hAnsi="Adobe Arabic" w:cs="Adobe Arabic"/>
          <w:sz w:val="24"/>
          <w:szCs w:val="24"/>
        </w:rPr>
        <w:t>.</w:t>
      </w:r>
    </w:p>
  </w:footnote>
  <w:footnote w:id="6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7</w:t>
      </w:r>
      <w:r w:rsidRPr="00206D8A">
        <w:rPr>
          <w:rFonts w:ascii="Adobe Arabic" w:hAnsi="Adobe Arabic" w:cs="Adobe Arabic"/>
          <w:sz w:val="24"/>
          <w:szCs w:val="24"/>
        </w:rPr>
        <w:t>.</w:t>
      </w:r>
    </w:p>
  </w:footnote>
  <w:footnote w:id="6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طه، الآية 5</w:t>
      </w:r>
      <w:r w:rsidRPr="00206D8A">
        <w:rPr>
          <w:rFonts w:ascii="Adobe Arabic" w:hAnsi="Adobe Arabic" w:cs="Adobe Arabic"/>
          <w:sz w:val="24"/>
          <w:szCs w:val="24"/>
        </w:rPr>
        <w:t>.</w:t>
      </w:r>
    </w:p>
  </w:footnote>
  <w:footnote w:id="6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الشورى، الآية 11</w:t>
      </w:r>
      <w:r w:rsidRPr="00206D8A">
        <w:rPr>
          <w:rFonts w:ascii="Adobe Arabic" w:hAnsi="Adobe Arabic" w:cs="Adobe Arabic"/>
          <w:sz w:val="24"/>
          <w:szCs w:val="24"/>
        </w:rPr>
        <w:t>.</w:t>
      </w:r>
    </w:p>
  </w:footnote>
  <w:footnote w:id="6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محمّد باقر، علوم القرآن، مصدر سابق، ص169-171؛ والحائريّ، كاظم، مباحث الأصول (تقريرًا لأبحاث السيِّد محمّد باقر الصدر)، نشر دار البشير، قمّ المقدَّسة، مطبعة شريعت، ط3، 1433ه‍، ج2، من القسم الثاني، ص230-231</w:t>
      </w:r>
      <w:r w:rsidRPr="00206D8A">
        <w:rPr>
          <w:rFonts w:ascii="Adobe Arabic" w:hAnsi="Adobe Arabic" w:cs="Adobe Arabic"/>
          <w:sz w:val="24"/>
          <w:szCs w:val="24"/>
        </w:rPr>
        <w:t>.</w:t>
      </w:r>
    </w:p>
  </w:footnote>
  <w:footnote w:id="7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ينقسم الظهور الى قسمَين</w:t>
      </w:r>
      <w:r w:rsidRPr="00206D8A">
        <w:rPr>
          <w:rFonts w:ascii="Adobe Arabic" w:hAnsi="Adobe Arabic" w:cs="Adobe Arabic"/>
          <w:sz w:val="24"/>
          <w:szCs w:val="24"/>
        </w:rPr>
        <w:t>:</w:t>
      </w:r>
    </w:p>
    <w:p w:rsidR="00091C88" w:rsidRPr="00206D8A" w:rsidRDefault="00091C88" w:rsidP="00206D8A">
      <w:pPr>
        <w:pStyle w:val="FootnoteText"/>
        <w:bidi/>
        <w:jc w:val="both"/>
        <w:rPr>
          <w:rFonts w:ascii="Adobe Arabic" w:hAnsi="Adobe Arabic" w:cs="Adobe Arabic"/>
          <w:sz w:val="24"/>
          <w:szCs w:val="24"/>
        </w:rPr>
      </w:pPr>
      <w:r w:rsidRPr="00206D8A">
        <w:rPr>
          <w:rFonts w:ascii="Adobe Arabic" w:hAnsi="Adobe Arabic" w:cs="Adobe Arabic"/>
          <w:sz w:val="24"/>
          <w:szCs w:val="24"/>
          <w:rtl/>
        </w:rPr>
        <w:t>القسم الأوّل: الظهور التصوُّريّ، وهو تعيّن أحد المعاني المحتملة وانسباقها الى الذهن، من إطلاق اللفظ، على أن يكون منشأ ذلك الانسباق والتعيّن هو الأوضاع اللغويّة، فهو المنشأ لاستقرار المعنى في الذهن، وركون النفس بتعيُّنه دون سائر المحتملات، إذ إنّ لانسباقه واستقراره مبرّرًا، وهو الوضع</w:t>
      </w:r>
      <w:r w:rsidRPr="00206D8A">
        <w:rPr>
          <w:rFonts w:ascii="Adobe Arabic" w:hAnsi="Adobe Arabic" w:cs="Adobe Arabic"/>
          <w:sz w:val="24"/>
          <w:szCs w:val="24"/>
        </w:rPr>
        <w:t>.</w:t>
      </w:r>
    </w:p>
    <w:p w:rsidR="00091C88" w:rsidRPr="00206D8A" w:rsidRDefault="00091C88" w:rsidP="00206D8A">
      <w:pPr>
        <w:pStyle w:val="FootnoteText"/>
        <w:bidi/>
        <w:jc w:val="both"/>
        <w:rPr>
          <w:rFonts w:ascii="Adobe Arabic" w:hAnsi="Adobe Arabic" w:cs="Adobe Arabic"/>
          <w:sz w:val="24"/>
          <w:szCs w:val="24"/>
          <w:rtl/>
          <w:lang w:bidi="ar-LB"/>
        </w:rPr>
      </w:pPr>
      <w:r w:rsidRPr="00206D8A">
        <w:rPr>
          <w:rFonts w:ascii="Adobe Arabic" w:hAnsi="Adobe Arabic" w:cs="Adobe Arabic"/>
          <w:sz w:val="24"/>
          <w:szCs w:val="24"/>
          <w:rtl/>
        </w:rPr>
        <w:t>القسم الثاني: الظهور التصديقيّ، وهو الظهور الحاليّ السياقيّ، والذي يتعيّن بواسطته المراد الجدّيّ من كلام المتكلّم. وهو لا ينشأ عن الأوضاع اللغويّة كما هو الحال في الظهور التصوُّريّ، وإن كان قد يساهم في انعقاد الظهور التصديقيّ. (انظر: صنقور، المعجم الأصوليّ، مصدر سابق، ص724)</w:t>
      </w:r>
      <w:r w:rsidRPr="00206D8A">
        <w:rPr>
          <w:rFonts w:ascii="Adobe Arabic" w:hAnsi="Adobe Arabic" w:cs="Adobe Arabic"/>
          <w:sz w:val="24"/>
          <w:szCs w:val="24"/>
        </w:rPr>
        <w:t>.</w:t>
      </w:r>
    </w:p>
  </w:footnote>
  <w:footnote w:id="7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صنقور، المعجم الأصوليّ، مصدر سابق، ص723</w:t>
      </w:r>
      <w:r w:rsidRPr="00206D8A">
        <w:rPr>
          <w:rFonts w:ascii="Adobe Arabic" w:hAnsi="Adobe Arabic" w:cs="Adobe Arabic"/>
          <w:sz w:val="24"/>
          <w:szCs w:val="24"/>
        </w:rPr>
        <w:t>.</w:t>
      </w:r>
    </w:p>
  </w:footnote>
  <w:footnote w:id="7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الأسترآباديّ، محمّد أمين، الفوائد المدنيّة (وبذيله الشواهد المكّيّة)، تحقيق: الشيخ رحمة الله الرحمتي الأراكي، مؤسَّسة النشر الإسلاميّ التابعة لجماعة المدرّسين، قمّ المشرّفة، منتصف شعبان المعظّم 1424ه‍.ق، ص269–270</w:t>
      </w:r>
      <w:r w:rsidRPr="00206D8A">
        <w:rPr>
          <w:rFonts w:ascii="Adobe Arabic" w:hAnsi="Adobe Arabic" w:cs="Adobe Arabic"/>
          <w:sz w:val="24"/>
          <w:szCs w:val="24"/>
        </w:rPr>
        <w:t>.</w:t>
      </w:r>
    </w:p>
  </w:footnote>
  <w:footnote w:id="7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وهم الرسول وأهل بيته (عليهم السلام)، بحسب اعتقاد مدرسة أهل البيت (عليهم السلام)</w:t>
      </w:r>
      <w:r w:rsidRPr="00206D8A">
        <w:rPr>
          <w:rFonts w:ascii="Adobe Arabic" w:hAnsi="Adobe Arabic" w:cs="Adobe Arabic"/>
          <w:sz w:val="24"/>
          <w:szCs w:val="24"/>
        </w:rPr>
        <w:t>.</w:t>
      </w:r>
    </w:p>
  </w:footnote>
  <w:footnote w:id="7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راجع: الحرّ العامّليّ، محمّد بن الحسن، وسائل الشيعة إلى تحصيل مسائل الشريعة، عني بتصحيحه وتحقيقه وتذييله: الشيخ محمّد الرازيّ مع تعليقات للشيخ أبي الحسن الشعرانيّ، دار إحياء التراث العربيّ، بيروت - لبنان، لا.ت، ج18، ب13 من أبواب صفات القاضي، ح25 و38 و41 و64 و69 و73 و74</w:t>
      </w:r>
      <w:r w:rsidRPr="00206D8A">
        <w:rPr>
          <w:rFonts w:ascii="Adobe Arabic" w:hAnsi="Adobe Arabic" w:cs="Adobe Arabic"/>
          <w:sz w:val="24"/>
          <w:szCs w:val="24"/>
        </w:rPr>
        <w:t>.</w:t>
      </w:r>
    </w:p>
  </w:footnote>
  <w:footnote w:id="7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الصدوق، أبو جعفر محمّد بن علي بن الحسين بن موسى بن بابويه القمّيّ، علل الشرائع، منشورات المكتبة الحيدريّة ومطبعتها، النجف، 1385ه‍- 1966م، ج1، ص90</w:t>
      </w:r>
      <w:r w:rsidRPr="00206D8A">
        <w:rPr>
          <w:rFonts w:ascii="Adobe Arabic" w:hAnsi="Adobe Arabic" w:cs="Adobe Arabic"/>
          <w:sz w:val="24"/>
          <w:szCs w:val="24"/>
        </w:rPr>
        <w:t>.</w:t>
      </w:r>
    </w:p>
  </w:footnote>
  <w:footnote w:id="7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الكلينيّ، أبو جعفر محمّد بن يعقوب بن إسحاق، الروضة من الكافي، صحَّحه وقابله وعلّق عليه: علي أكبر الغفاريّ، دار الكتب الإسلاميّة، طهران - بازار سلطاني، ط2، 1389ه‍.ق- 1348ه‍ ش، ج8، ص311-312</w:t>
      </w:r>
      <w:r w:rsidRPr="00206D8A">
        <w:rPr>
          <w:rFonts w:ascii="Adobe Arabic" w:hAnsi="Adobe Arabic" w:cs="Adobe Arabic"/>
          <w:sz w:val="24"/>
          <w:szCs w:val="24"/>
        </w:rPr>
        <w:t>.</w:t>
      </w:r>
    </w:p>
  </w:footnote>
  <w:footnote w:id="7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هي روايات تفسير العيّاشيّ، 69 و 73 و 74</w:t>
      </w:r>
      <w:r w:rsidRPr="00206D8A">
        <w:rPr>
          <w:rFonts w:ascii="Adobe Arabic" w:hAnsi="Adobe Arabic" w:cs="Adobe Arabic"/>
          <w:sz w:val="24"/>
          <w:szCs w:val="24"/>
        </w:rPr>
        <w:t>.</w:t>
      </w:r>
    </w:p>
  </w:footnote>
  <w:footnote w:id="7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بجهالة من روى عن المعلّى بن خنيس في الرواية 38، إن سُلِّمَت وثاقة المعلّى نفسه، وضعف محمّد بن سنان في الرواية 25</w:t>
      </w:r>
      <w:r w:rsidRPr="00206D8A">
        <w:rPr>
          <w:rFonts w:ascii="Adobe Arabic" w:hAnsi="Adobe Arabic" w:cs="Adobe Arabic"/>
          <w:sz w:val="24"/>
          <w:szCs w:val="24"/>
        </w:rPr>
        <w:t>.</w:t>
      </w:r>
    </w:p>
  </w:footnote>
  <w:footnote w:id="7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فاطر، الآية 32</w:t>
      </w:r>
      <w:r w:rsidRPr="00206D8A">
        <w:rPr>
          <w:rFonts w:ascii="Adobe Arabic" w:hAnsi="Adobe Arabic" w:cs="Adobe Arabic"/>
          <w:sz w:val="24"/>
          <w:szCs w:val="24"/>
        </w:rPr>
        <w:t>.</w:t>
      </w:r>
    </w:p>
  </w:footnote>
  <w:footnote w:id="8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التوحيد، الآية 73</w:t>
      </w:r>
      <w:r w:rsidRPr="00206D8A">
        <w:rPr>
          <w:rFonts w:ascii="Adobe Arabic" w:hAnsi="Adobe Arabic" w:cs="Adobe Arabic"/>
          <w:sz w:val="24"/>
          <w:szCs w:val="24"/>
        </w:rPr>
        <w:t>.</w:t>
      </w:r>
    </w:p>
  </w:footnote>
  <w:footnote w:id="8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الخوئيّ، أبو القاسم، البيان في تفسير القرآن، منشورات أنوار الهدى، مطبعة فروردين، ط8، 1401ه‍- 1981م، ص268</w:t>
      </w:r>
      <w:r w:rsidRPr="00206D8A">
        <w:rPr>
          <w:rFonts w:ascii="Adobe Arabic" w:hAnsi="Adobe Arabic" w:cs="Adobe Arabic"/>
          <w:sz w:val="24"/>
          <w:szCs w:val="24"/>
        </w:rPr>
        <w:t>.</w:t>
      </w:r>
    </w:p>
  </w:footnote>
  <w:footnote w:id="8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الحرّ العامّليّ، وسائل الشيعة، مصدر سابق، ج 18، ب 14 من أبواب صفات القاضي، ح1؛ وانظر: الأنصاريّ، مرتضى، فرائد الأصول، لجنة تحقيق: تراث الشيخ الأعظم، قمّ، مجمع الفكر الإسلاميّ، 1422 ه‍.ق، ج1، ص144</w:t>
      </w:r>
      <w:r w:rsidRPr="00206D8A">
        <w:rPr>
          <w:rFonts w:ascii="Adobe Arabic" w:hAnsi="Adobe Arabic" w:cs="Adobe Arabic"/>
          <w:sz w:val="24"/>
          <w:szCs w:val="24"/>
        </w:rPr>
        <w:t>.</w:t>
      </w:r>
    </w:p>
  </w:footnote>
  <w:footnote w:id="8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الحائريّ، مباحث الأصول (تقريرًا لأبحاث السيّد محمّد باقر الصدر)، مصدر سابق، ج2 من القسم الثاني، ص234-235</w:t>
      </w:r>
      <w:r w:rsidRPr="00206D8A">
        <w:rPr>
          <w:rFonts w:ascii="Adobe Arabic" w:hAnsi="Adobe Arabic" w:cs="Adobe Arabic"/>
          <w:sz w:val="24"/>
          <w:szCs w:val="24"/>
        </w:rPr>
        <w:t>.</w:t>
      </w:r>
    </w:p>
  </w:footnote>
  <w:footnote w:id="8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الحرّ العامّليّ، وسائل الشيعة، مصدر سابق، ج18، ب13 من أبواب صفات القاضي، ح37</w:t>
      </w:r>
      <w:r w:rsidRPr="00206D8A">
        <w:rPr>
          <w:rFonts w:ascii="Adobe Arabic" w:hAnsi="Adobe Arabic" w:cs="Adobe Arabic"/>
          <w:sz w:val="24"/>
          <w:szCs w:val="24"/>
        </w:rPr>
        <w:t>.</w:t>
      </w:r>
    </w:p>
  </w:footnote>
  <w:footnote w:id="8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ج18، ب13 من أبواب صفات القاضي، ح66</w:t>
      </w:r>
      <w:r w:rsidRPr="00206D8A">
        <w:rPr>
          <w:rFonts w:ascii="Adobe Arabic" w:hAnsi="Adobe Arabic" w:cs="Adobe Arabic"/>
          <w:sz w:val="24"/>
          <w:szCs w:val="24"/>
        </w:rPr>
        <w:t>.</w:t>
      </w:r>
    </w:p>
  </w:footnote>
  <w:footnote w:id="8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ج18، ب6 من أبواب صفات القاضي، ح45</w:t>
      </w:r>
      <w:r w:rsidRPr="00206D8A">
        <w:rPr>
          <w:rFonts w:ascii="Adobe Arabic" w:hAnsi="Adobe Arabic" w:cs="Adobe Arabic"/>
          <w:sz w:val="24"/>
          <w:szCs w:val="24"/>
        </w:rPr>
        <w:t>.</w:t>
      </w:r>
    </w:p>
  </w:footnote>
  <w:footnote w:id="8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الحائريّ، مباحث الأصول (تقريرًا لأبحاث السيّد محمّد باقر الصدر)، مصدر سابق، ج2 من القسم الثاني، ص237؛ الصدر، محمّد باقر، المعالم الجديدة للأصول، ص23-24</w:t>
      </w:r>
      <w:r w:rsidRPr="00206D8A">
        <w:rPr>
          <w:rFonts w:ascii="Adobe Arabic" w:hAnsi="Adobe Arabic" w:cs="Adobe Arabic"/>
          <w:sz w:val="24"/>
          <w:szCs w:val="24"/>
        </w:rPr>
        <w:t>.</w:t>
      </w:r>
    </w:p>
  </w:footnote>
  <w:footnote w:id="8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الحائريّ، مباحث الأصول، مصدر سابق، ج2 من القسم الثاني، ص238</w:t>
      </w:r>
      <w:r w:rsidRPr="00206D8A">
        <w:rPr>
          <w:rFonts w:ascii="Adobe Arabic" w:hAnsi="Adobe Arabic" w:cs="Adobe Arabic"/>
          <w:sz w:val="24"/>
          <w:szCs w:val="24"/>
        </w:rPr>
        <w:t>.</w:t>
      </w:r>
    </w:p>
  </w:footnote>
  <w:footnote w:id="8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المصدر نفسه، ج2 من القسم الثاني، ص239؛ الصدر، محمّد باقر، دروس في علم الأصول الحلقة الثانية، دار الكتاب اللبناني - مكتبة المدرسة، بيروت – لبنان، ط2، 1406ه‍- 1986م، ص246-247</w:t>
      </w:r>
      <w:r w:rsidRPr="00206D8A">
        <w:rPr>
          <w:rFonts w:ascii="Adobe Arabic" w:hAnsi="Adobe Arabic" w:cs="Adobe Arabic"/>
          <w:sz w:val="24"/>
          <w:szCs w:val="24"/>
        </w:rPr>
        <w:t>.</w:t>
      </w:r>
    </w:p>
  </w:footnote>
  <w:footnote w:id="9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إضافة لما مرّ من سيرة المتشرّعة</w:t>
      </w:r>
      <w:r w:rsidRPr="00206D8A">
        <w:rPr>
          <w:rFonts w:ascii="Adobe Arabic" w:hAnsi="Adobe Arabic" w:cs="Adobe Arabic"/>
          <w:sz w:val="24"/>
          <w:szCs w:val="24"/>
        </w:rPr>
        <w:t>.</w:t>
      </w:r>
    </w:p>
  </w:footnote>
  <w:footnote w:id="9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سيأتي الكلام في سند الحديث ومدلوله</w:t>
      </w:r>
      <w:r w:rsidRPr="00206D8A">
        <w:rPr>
          <w:rFonts w:ascii="Adobe Arabic" w:hAnsi="Adobe Arabic" w:cs="Adobe Arabic"/>
          <w:sz w:val="24"/>
          <w:szCs w:val="24"/>
        </w:rPr>
        <w:t>.</w:t>
      </w:r>
    </w:p>
  </w:footnote>
  <w:footnote w:id="9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الحرّ العامليّ، وسائل الشيعة، مصدر سابق، ج 12، ص352–353، باب ثبوت خيار الشرط بحسب ما يشترطانه، وكذا كلّ شرط إذا لم يخالف كتاب الله</w:t>
      </w:r>
      <w:r w:rsidRPr="00206D8A">
        <w:rPr>
          <w:rFonts w:ascii="Adobe Arabic" w:hAnsi="Adobe Arabic" w:cs="Adobe Arabic"/>
          <w:sz w:val="24"/>
          <w:szCs w:val="24"/>
        </w:rPr>
        <w:t>.</w:t>
      </w:r>
    </w:p>
  </w:footnote>
  <w:footnote w:id="9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الحائريّ، مباحث الأصول (تقريرًا لأبحاث السيّد محمّد باقر الصدر)، مصدر سابق، ج2 من القسم الثاني، ص241-242</w:t>
      </w:r>
      <w:r w:rsidRPr="00206D8A">
        <w:rPr>
          <w:rFonts w:ascii="Adobe Arabic" w:hAnsi="Adobe Arabic" w:cs="Adobe Arabic"/>
          <w:sz w:val="24"/>
          <w:szCs w:val="24"/>
        </w:rPr>
        <w:t>.</w:t>
      </w:r>
    </w:p>
  </w:footnote>
  <w:footnote w:id="9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المصدر نفسه، ص242-244</w:t>
      </w:r>
      <w:r w:rsidRPr="00206D8A">
        <w:rPr>
          <w:rFonts w:ascii="Adobe Arabic" w:hAnsi="Adobe Arabic" w:cs="Adobe Arabic"/>
          <w:sz w:val="24"/>
          <w:szCs w:val="24"/>
        </w:rPr>
        <w:t>.</w:t>
      </w:r>
    </w:p>
  </w:footnote>
  <w:footnote w:id="9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الحرّ العامليّ، وسائل الشيعة، مصدر سابق، ج1، ص291، الباب 23 من أبواب الوضوء، الحديث الأوّل</w:t>
      </w:r>
      <w:r w:rsidRPr="00206D8A">
        <w:rPr>
          <w:rFonts w:ascii="Adobe Arabic" w:hAnsi="Adobe Arabic" w:cs="Adobe Arabic"/>
          <w:sz w:val="24"/>
          <w:szCs w:val="24"/>
        </w:rPr>
        <w:t>.</w:t>
      </w:r>
    </w:p>
  </w:footnote>
  <w:footnote w:id="9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الحجرات، الآية 6</w:t>
      </w:r>
      <w:r w:rsidRPr="00206D8A">
        <w:rPr>
          <w:rFonts w:ascii="Adobe Arabic" w:hAnsi="Adobe Arabic" w:cs="Adobe Arabic"/>
          <w:sz w:val="24"/>
          <w:szCs w:val="24"/>
        </w:rPr>
        <w:t>.</w:t>
      </w:r>
    </w:p>
  </w:footnote>
  <w:footnote w:id="9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الحرّ العامليّ، وسائل الشيعة، مصدر سابق، ج8، ص619، ب 164 من أبواب أحكام العشرة، ح10</w:t>
      </w:r>
      <w:r w:rsidRPr="00206D8A">
        <w:rPr>
          <w:rFonts w:ascii="Adobe Arabic" w:hAnsi="Adobe Arabic" w:cs="Adobe Arabic"/>
          <w:sz w:val="24"/>
          <w:szCs w:val="24"/>
        </w:rPr>
        <w:t>.</w:t>
      </w:r>
    </w:p>
  </w:footnote>
  <w:footnote w:id="9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التوبة، الآية 61</w:t>
      </w:r>
      <w:r w:rsidRPr="00206D8A">
        <w:rPr>
          <w:rFonts w:ascii="Adobe Arabic" w:hAnsi="Adobe Arabic" w:cs="Adobe Arabic"/>
          <w:sz w:val="24"/>
          <w:szCs w:val="24"/>
        </w:rPr>
        <w:t>.</w:t>
      </w:r>
    </w:p>
  </w:footnote>
  <w:footnote w:id="9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الحرّ العامليّ، وسائل الشيعة، مصدر سابق، ج13، ص230، ب 6 من أحكام الوديعة، الحديث الأوّل</w:t>
      </w:r>
      <w:r w:rsidRPr="00206D8A">
        <w:rPr>
          <w:rFonts w:ascii="Adobe Arabic" w:hAnsi="Adobe Arabic" w:cs="Adobe Arabic"/>
          <w:sz w:val="24"/>
          <w:szCs w:val="24"/>
        </w:rPr>
        <w:t>.</w:t>
      </w:r>
    </w:p>
  </w:footnote>
  <w:footnote w:id="10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ج2، ص957، ب 18 من أبواب الأغسال المسنونة، الحديث الأوّل</w:t>
      </w:r>
      <w:r w:rsidRPr="00206D8A">
        <w:rPr>
          <w:rFonts w:ascii="Adobe Arabic" w:hAnsi="Adobe Arabic" w:cs="Adobe Arabic"/>
          <w:sz w:val="24"/>
          <w:szCs w:val="24"/>
        </w:rPr>
        <w:t>.</w:t>
      </w:r>
    </w:p>
  </w:footnote>
  <w:footnote w:id="10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وقد يُعَبَّر عنها بالسنّة الواقعيّة كما ذكرنا في بحث المصطلحات</w:t>
      </w:r>
      <w:r w:rsidRPr="00206D8A">
        <w:rPr>
          <w:rFonts w:ascii="Adobe Arabic" w:hAnsi="Adobe Arabic" w:cs="Adobe Arabic"/>
          <w:sz w:val="24"/>
          <w:szCs w:val="24"/>
        </w:rPr>
        <w:t>.</w:t>
      </w:r>
    </w:p>
  </w:footnote>
  <w:footnote w:id="10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كعدد ركعات الفرائض</w:t>
      </w:r>
      <w:r w:rsidRPr="00206D8A">
        <w:rPr>
          <w:rFonts w:ascii="Adobe Arabic" w:hAnsi="Adobe Arabic" w:cs="Adobe Arabic"/>
          <w:sz w:val="24"/>
          <w:szCs w:val="24"/>
        </w:rPr>
        <w:t>.</w:t>
      </w:r>
    </w:p>
  </w:footnote>
  <w:footnote w:id="10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وقد يُعَبَّر عنها بالسنّة المحكيّة. وتجدر الإشارة إلى اقتصار السنّة في مدرسة الصحابة على سنّة النبيّ (صلى الله عليه وآله)، وشمولها في مدرسة أهل البيت (عليهم السلام) للمعصومين من آل النبيّ (صلى الله عليه وآله)</w:t>
      </w:r>
      <w:r w:rsidRPr="00206D8A">
        <w:rPr>
          <w:rFonts w:ascii="Adobe Arabic" w:hAnsi="Adobe Arabic" w:cs="Adobe Arabic"/>
          <w:sz w:val="24"/>
          <w:szCs w:val="24"/>
        </w:rPr>
        <w:t>.</w:t>
      </w:r>
    </w:p>
  </w:footnote>
  <w:footnote w:id="10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كالحال في الخبر المتواتر أو الواحد المحتفّ بالقرائن أو الإجماع، أو سيرة المتشرّعة (والإجماع الكاشف عنها) وسيرة العقلاء الممضيّتَين من المعصوم</w:t>
      </w:r>
      <w:r w:rsidRPr="00206D8A">
        <w:rPr>
          <w:rFonts w:ascii="Adobe Arabic" w:hAnsi="Adobe Arabic" w:cs="Adobe Arabic"/>
          <w:sz w:val="24"/>
          <w:szCs w:val="24"/>
        </w:rPr>
        <w:t xml:space="preserve"> (</w:t>
      </w:r>
      <w:r w:rsidRPr="00206D8A">
        <w:rPr>
          <w:rFonts w:ascii="Adobe Arabic" w:hAnsi="Adobe Arabic" w:cs="Adobe Arabic"/>
          <w:sz w:val="24"/>
          <w:szCs w:val="24"/>
          <w:rtl/>
        </w:rPr>
        <w:t>عليه السلام</w:t>
      </w:r>
      <w:r w:rsidRPr="00206D8A">
        <w:rPr>
          <w:rFonts w:ascii="Adobe Arabic" w:hAnsi="Adobe Arabic" w:cs="Adobe Arabic"/>
          <w:sz w:val="24"/>
          <w:szCs w:val="24"/>
        </w:rPr>
        <w:t>) (</w:t>
      </w:r>
      <w:r w:rsidRPr="00206D8A">
        <w:rPr>
          <w:rFonts w:ascii="Adobe Arabic" w:hAnsi="Adobe Arabic" w:cs="Adobe Arabic"/>
          <w:sz w:val="24"/>
          <w:szCs w:val="24"/>
          <w:rtl/>
        </w:rPr>
        <w:t>انظر الصدر، محمّد باقر، دروس في علم الأصول الحلقة الثالثة، المؤتمر العالميّ للإمام الشهيد السيّد محمّد باقر الصدر، مركز الأبحاث والدراسات التخصّصيّة للشهيد الصدر، ط4، مطبعة شريعت - قمّ، 1428ه‍، ص145-164؛ الصدر، محمّد باقر، دروس في علم الأصول الحلقة الثانية، المؤتمر العالمي للإمام الشهيد السيّد محمّد باقر الصدر، مركز الأبحاث والدراسات التخصّصيّة للشهيد الصدر، ط4، مطبعة شريعت - قمّ، 1436ه‍.ق، ص276-287</w:t>
      </w:r>
      <w:r w:rsidRPr="00206D8A">
        <w:rPr>
          <w:rFonts w:ascii="Adobe Arabic" w:hAnsi="Adobe Arabic" w:cs="Adobe Arabic"/>
          <w:sz w:val="24"/>
          <w:szCs w:val="24"/>
        </w:rPr>
        <w:t>.</w:t>
      </w:r>
    </w:p>
  </w:footnote>
  <w:footnote w:id="10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المائدة، الآية 92</w:t>
      </w:r>
      <w:r w:rsidRPr="00206D8A">
        <w:rPr>
          <w:rFonts w:ascii="Adobe Arabic" w:hAnsi="Adobe Arabic" w:cs="Adobe Arabic"/>
          <w:sz w:val="24"/>
          <w:szCs w:val="24"/>
        </w:rPr>
        <w:t>.</w:t>
      </w:r>
    </w:p>
  </w:footnote>
  <w:footnote w:id="10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الآيتان 31-32</w:t>
      </w:r>
      <w:r w:rsidRPr="00206D8A">
        <w:rPr>
          <w:rFonts w:ascii="Adobe Arabic" w:hAnsi="Adobe Arabic" w:cs="Adobe Arabic"/>
          <w:sz w:val="24"/>
          <w:szCs w:val="24"/>
        </w:rPr>
        <w:t>.</w:t>
      </w:r>
    </w:p>
  </w:footnote>
  <w:footnote w:id="10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الجنّ، الآية 28</w:t>
      </w:r>
      <w:r w:rsidRPr="00206D8A">
        <w:rPr>
          <w:rFonts w:ascii="Adobe Arabic" w:hAnsi="Adobe Arabic" w:cs="Adobe Arabic"/>
          <w:sz w:val="24"/>
          <w:szCs w:val="24"/>
        </w:rPr>
        <w:t>.</w:t>
      </w:r>
    </w:p>
  </w:footnote>
  <w:footnote w:id="10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مريم، الآية 64</w:t>
      </w:r>
      <w:r w:rsidRPr="00206D8A">
        <w:rPr>
          <w:rFonts w:ascii="Adobe Arabic" w:hAnsi="Adobe Arabic" w:cs="Adobe Arabic"/>
          <w:sz w:val="24"/>
          <w:szCs w:val="24"/>
        </w:rPr>
        <w:t>.</w:t>
      </w:r>
    </w:p>
  </w:footnote>
  <w:footnote w:id="10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ج2، ص136-137</w:t>
      </w:r>
      <w:r w:rsidRPr="00206D8A">
        <w:rPr>
          <w:rFonts w:ascii="Adobe Arabic" w:hAnsi="Adobe Arabic" w:cs="Adobe Arabic"/>
          <w:sz w:val="24"/>
          <w:szCs w:val="24"/>
        </w:rPr>
        <w:t>.</w:t>
      </w:r>
    </w:p>
  </w:footnote>
  <w:footnote w:id="11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ج20، ص62</w:t>
      </w:r>
      <w:r w:rsidRPr="00206D8A">
        <w:rPr>
          <w:rFonts w:ascii="Adobe Arabic" w:hAnsi="Adobe Arabic" w:cs="Adobe Arabic"/>
          <w:sz w:val="24"/>
          <w:szCs w:val="24"/>
        </w:rPr>
        <w:t>.</w:t>
      </w:r>
    </w:p>
  </w:footnote>
  <w:footnote w:id="11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خلاف، عبد الوهاب، علم أصول الفقه، مكتبة الدعوة - شباب الأزهر (عن الطبعة الثامنة لدار القلم)، ص37</w:t>
      </w:r>
      <w:r w:rsidRPr="00206D8A">
        <w:rPr>
          <w:rFonts w:ascii="Adobe Arabic" w:hAnsi="Adobe Arabic" w:cs="Adobe Arabic"/>
          <w:sz w:val="24"/>
          <w:szCs w:val="24"/>
        </w:rPr>
        <w:t>.</w:t>
      </w:r>
    </w:p>
  </w:footnote>
  <w:footnote w:id="11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الهيثميّ، أبو الحسن نور الدين عليّ بن أبي بكر بن سليمان، تحقيق: حسام الدين القدسيّ، مكتبة القدسيّ، القاهرة، 1414هـ- 1994م، المجلّد 5، ص218، حديث 9100 نقلًا عن الطبرانيّ بإسنادين</w:t>
      </w:r>
      <w:r w:rsidRPr="00206D8A">
        <w:rPr>
          <w:rFonts w:ascii="Adobe Arabic" w:hAnsi="Adobe Arabic" w:cs="Adobe Arabic"/>
          <w:sz w:val="24"/>
          <w:szCs w:val="24"/>
        </w:rPr>
        <w:t>.</w:t>
      </w:r>
    </w:p>
  </w:footnote>
  <w:footnote w:id="11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الطوسيّ، نصير الدين محمّد بن الحسن، كشف المراد في شرح تجريد الاعتقاد (شرح العلَّامة الحسن بن يوسف بن عليّ المطهّر الحلّيّ)، دار المحجّة البيضاء، لا.ت، لا.ط، المقصد الرابع، المسألة الثالثة، ص326</w:t>
      </w:r>
      <w:r w:rsidRPr="00206D8A">
        <w:rPr>
          <w:rFonts w:ascii="Adobe Arabic" w:hAnsi="Adobe Arabic" w:cs="Adobe Arabic"/>
          <w:sz w:val="24"/>
          <w:szCs w:val="24"/>
        </w:rPr>
        <w:t>.</w:t>
      </w:r>
    </w:p>
  </w:footnote>
  <w:footnote w:id="11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السبحانيّ، جعفر، الإلهيّات على هدى الكتاب والسنّة والعقل (بقلم الشيخ حسن محمّد مكّي العامّليّ)، مؤسَّسة الإمام الصادق</w:t>
      </w:r>
      <w:r w:rsidRPr="00206D8A">
        <w:rPr>
          <w:rFonts w:ascii="Adobe Arabic" w:hAnsi="Adobe Arabic" w:cs="Adobe Arabic"/>
          <w:sz w:val="24"/>
          <w:szCs w:val="24"/>
        </w:rPr>
        <w:t xml:space="preserve"> (</w:t>
      </w:r>
      <w:r w:rsidRPr="00206D8A">
        <w:rPr>
          <w:rFonts w:ascii="Adobe Arabic" w:hAnsi="Adobe Arabic" w:cs="Adobe Arabic"/>
          <w:sz w:val="24"/>
          <w:szCs w:val="24"/>
          <w:rtl/>
        </w:rPr>
        <w:t>عليه السلام)، قمّ المقدَّسة، ط7، 1388هـ.ش- 1430هـ.ق، ج3، ص191</w:t>
      </w:r>
      <w:r w:rsidRPr="00206D8A">
        <w:rPr>
          <w:rFonts w:ascii="Adobe Arabic" w:hAnsi="Adobe Arabic" w:cs="Adobe Arabic"/>
          <w:sz w:val="24"/>
          <w:szCs w:val="24"/>
        </w:rPr>
        <w:t>.</w:t>
      </w:r>
    </w:p>
  </w:footnote>
  <w:footnote w:id="11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الراغب الأصفهانيّ، أبو القاسم الحسين بن محمّد، المفردات في غريب القرآن، تحقيق وضبط: إبراهيم شمس الدين، مؤسَّسة الأعلميّ، بيروت، ط1، 1430هـ- 2009م، باب الصاد، مادّة صحب، ص364</w:t>
      </w:r>
      <w:r w:rsidRPr="00206D8A">
        <w:rPr>
          <w:rFonts w:ascii="Adobe Arabic" w:hAnsi="Adobe Arabic" w:cs="Adobe Arabic"/>
          <w:sz w:val="24"/>
          <w:szCs w:val="24"/>
        </w:rPr>
        <w:t>.</w:t>
      </w:r>
    </w:p>
  </w:footnote>
  <w:footnote w:id="11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اللكنويّ، محمّد عبد الحيّ، ظفر الأمانيّ بشرح مختصر السيّد الشريف الجرجانيّ، اعتنى به عبد الفتّاح أبو غدّة، مكتب المطبوعات الإسلاميّة، حلب، ط3، بيروت، 1416هـ،ص496</w:t>
      </w:r>
      <w:r w:rsidRPr="00206D8A">
        <w:rPr>
          <w:rFonts w:ascii="Adobe Arabic" w:hAnsi="Adobe Arabic" w:cs="Adobe Arabic"/>
          <w:sz w:val="24"/>
          <w:szCs w:val="24"/>
        </w:rPr>
        <w:t>.</w:t>
      </w:r>
    </w:p>
  </w:footnote>
  <w:footnote w:id="11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حجر العسقلانيّ، أبو الفضل أحمد بن عليّ بن محمّد بن أحمد بن حجر العسقلانيّ، الإصابة في تمييز الصحابة، تحقيق: عادل أحمد عبد الموجود وعليّ محمّد معوّض، دار الكتب العلميّة، بيروت، ط1، 1415هـ، المجلّد 1، ص158</w:t>
      </w:r>
      <w:r w:rsidRPr="00206D8A">
        <w:rPr>
          <w:rFonts w:ascii="Adobe Arabic" w:hAnsi="Adobe Arabic" w:cs="Adobe Arabic"/>
          <w:sz w:val="24"/>
          <w:szCs w:val="24"/>
        </w:rPr>
        <w:t>.</w:t>
      </w:r>
    </w:p>
  </w:footnote>
  <w:footnote w:id="11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الشهيد الثاني، زين الدين بن علي بن أحمد الجبعي العامّلي، الرعاية في علم الدراية، تحقيق: عبد الحسين محمد علي بقال، نشر: مكتبة آية الله العظمى المرعشيّ النجفي - قم المقدَّسة، إشراف الأمين العامّ للمكتبة الدكتور السيد محمود المرعشيّ، مطبعة بهمن، قمّ، 1408ه‍.ق، ص339</w:t>
      </w:r>
      <w:r w:rsidRPr="00206D8A">
        <w:rPr>
          <w:rFonts w:ascii="Adobe Arabic" w:hAnsi="Adobe Arabic" w:cs="Adobe Arabic"/>
          <w:sz w:val="24"/>
          <w:szCs w:val="24"/>
        </w:rPr>
        <w:t>.</w:t>
      </w:r>
    </w:p>
  </w:footnote>
  <w:footnote w:id="11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الزحيليّ، محمّد مصطفى، الوجيز في أصول الفقه الإسلاميّ، دار الخير، ط2، ج1، ص271-274</w:t>
      </w:r>
      <w:r w:rsidRPr="00206D8A">
        <w:rPr>
          <w:rFonts w:ascii="Adobe Arabic" w:hAnsi="Adobe Arabic" w:cs="Adobe Arabic"/>
          <w:sz w:val="24"/>
          <w:szCs w:val="24"/>
        </w:rPr>
        <w:t>.</w:t>
      </w:r>
    </w:p>
  </w:footnote>
  <w:footnote w:id="12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44</w:t>
      </w:r>
      <w:r w:rsidRPr="00206D8A">
        <w:rPr>
          <w:rFonts w:ascii="Adobe Arabic" w:hAnsi="Adobe Arabic" w:cs="Adobe Arabic"/>
          <w:sz w:val="24"/>
          <w:szCs w:val="24"/>
        </w:rPr>
        <w:t>.</w:t>
      </w:r>
    </w:p>
  </w:footnote>
  <w:footnote w:id="12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ج12، ص261</w:t>
      </w:r>
      <w:r w:rsidRPr="00206D8A">
        <w:rPr>
          <w:rFonts w:ascii="Adobe Arabic" w:hAnsi="Adobe Arabic" w:cs="Adobe Arabic"/>
          <w:sz w:val="24"/>
          <w:szCs w:val="24"/>
        </w:rPr>
        <w:t>.</w:t>
      </w:r>
    </w:p>
  </w:footnote>
  <w:footnote w:id="12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قوله تعالى: ﴿ذَٰلِكَ   عِبَادَهُ   ءَامَنُواْ وَعَمِلُواْ ٱلصَّٰلِحَٰتِ</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قُل لَّآ أَس</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‍َٔلُكُم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عَلَي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هِ</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أَج</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رًا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إِلَّا</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مَوَدَّةَ</w:t>
      </w:r>
      <w:r w:rsidRPr="00206D8A">
        <w:rPr>
          <w:rFonts w:ascii="Adobe Arabic" w:hAnsi="Adobe Arabic" w:cs="Adobe Arabic"/>
          <w:sz w:val="24"/>
          <w:szCs w:val="24"/>
          <w:rtl/>
        </w:rPr>
        <w:t xml:space="preserve"> فِي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قُر</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بَىٰ</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وَمَن يَق</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تَرِف</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حَسَنَة</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نَّز</w:t>
      </w:r>
      <w:r w:rsidRPr="00206D8A">
        <w:rPr>
          <w:rFonts w:ascii="Adobe Arabic" w:hAnsi="Adobe Arabic" w:cs="Adobe Arabic"/>
          <w:sz w:val="24"/>
          <w:szCs w:val="24"/>
          <w:rtl/>
        </w:rPr>
        <w:t>ِد</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لَهُ</w:t>
      </w:r>
      <w:r w:rsidRPr="00206D8A">
        <w:rPr>
          <w:rFonts w:ascii="Sakkal Majalla" w:hAnsi="Sakkal Majalla" w:cs="Sakkal Majalla" w:hint="cs"/>
          <w:sz w:val="24"/>
          <w:szCs w:val="24"/>
          <w:rtl/>
        </w:rPr>
        <w:t>ۥ</w:t>
      </w:r>
      <w:r w:rsidRPr="00206D8A">
        <w:rPr>
          <w:rFonts w:ascii="Adobe Arabic" w:hAnsi="Adobe Arabic" w:cs="Adobe Arabic"/>
          <w:sz w:val="24"/>
          <w:szCs w:val="24"/>
          <w:rtl/>
        </w:rPr>
        <w:t xml:space="preserve"> فِيهَا حُس</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نًا</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إِنَّ</w:t>
      </w:r>
      <w:r w:rsidRPr="00206D8A">
        <w:rPr>
          <w:rFonts w:ascii="Adobe Arabic" w:hAnsi="Adobe Arabic" w:cs="Adobe Arabic"/>
          <w:sz w:val="24"/>
          <w:szCs w:val="24"/>
          <w:rtl/>
        </w:rPr>
        <w:t xml:space="preserve"> ٱللَّهَ غَفُور شَكُورٌ﴾ (الشورى 23)</w:t>
      </w:r>
      <w:r w:rsidRPr="00206D8A">
        <w:rPr>
          <w:rFonts w:ascii="Adobe Arabic" w:hAnsi="Adobe Arabic" w:cs="Adobe Arabic"/>
          <w:sz w:val="24"/>
          <w:szCs w:val="24"/>
        </w:rPr>
        <w:t>.</w:t>
      </w:r>
    </w:p>
  </w:footnote>
  <w:footnote w:id="12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إشارة إلى الحديث المرويّ عن النبيّ (صلى الله عليه وآله): "ألا إنّ مثل أهل بيتي فيكم مثل سفينة نوح، من ركبها نجا، ومن تخلّف عنها غرق" (الحاكم، أبو عبد الله محمّد بن عبد الله الحاكم النيسابوريّ، المستدرك على الصحيحَين، دار المعرفة، بيروت - لبنان، 1418هـ- 1998م، ج3، ص81، ح3365)</w:t>
      </w:r>
      <w:r w:rsidRPr="00206D8A">
        <w:rPr>
          <w:rFonts w:ascii="Adobe Arabic" w:hAnsi="Adobe Arabic" w:cs="Adobe Arabic"/>
          <w:sz w:val="24"/>
          <w:szCs w:val="24"/>
        </w:rPr>
        <w:t>.</w:t>
      </w:r>
    </w:p>
  </w:footnote>
  <w:footnote w:id="12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مثل الأحاديث عنه (صلى الله عليه وآله): "النجوم أمانٌ لأهل الأرض من الغرق، وأهل بيتي أمانٌ لأمّتي من الاختلاف؛ فإذا خالفتها قبيلة من العرب اختلفوا فصاروا حزب إبليس" (الحاكم النيسابوريّ، المستدرك على الصحيحَين، مصدر سابق، ج4، ص131، ح4769)؛ "من سرّه أن يحيا حياتي، ويموت مماتي، ويسكن جنّة عدن غرسها ربّي، فليوالِ عليًّا من بعدي، وليوالِ وليّه، وليقتدِ بأهل بيتي؛ فإنّهم عترتي، خُلِقوا من طينتي، ورُزِقوا فهمي وعلمي، فويلٌ للمكذّبين بفضلهم من أمّتي، القاطعين فيهم صلتي، لا أنزلهم الله شفاعتي" (المتّقي الهنديّ، علاء الدين عليّ بن حسام الدين ابن قاضي خان القادري الشاذليّ الهنديّ البرهانفوريّ، كنز العمّال في سنن الأقوال والأفعال، المحقّق: بكري حياني وصفوة السقا، مؤسَّسة الرسالة، ط5، 1401هـ- 1981م، ج12، ص103، ح34198)؛ "في كلّ خلف من أمّتي عدول من أهل بيتي ينفون عن هذا الدين تحريف الضالّين، وانتحال المبطلين، وتأويل الجاهلين، ألا وإنّ أئمّتكم وفدكم إلى الله، فانظروا من توفدون" (نقله ابن حجر في الصواعق المحرقة عن الملّا في سيرته، انظر: الهيتمي، أبو العبّاس أحمد بن محمّد بن محمّد بن عليّ بن حجر، الصواعق المحرقة على أهل الرفض والضلال والزندقة، تحقيق: عبد الرحمن بن عبد الله التركيّ وكامل محمّد الخراط، مؤسَّسة الرسالة، بيروت، ط1، 1997، ج2، ص441)</w:t>
      </w:r>
      <w:r w:rsidRPr="00206D8A">
        <w:rPr>
          <w:rFonts w:ascii="Adobe Arabic" w:hAnsi="Adobe Arabic" w:cs="Adobe Arabic"/>
          <w:sz w:val="24"/>
          <w:szCs w:val="24"/>
        </w:rPr>
        <w:t>.</w:t>
      </w:r>
    </w:p>
  </w:footnote>
  <w:footnote w:id="12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الآية 33</w:t>
      </w:r>
      <w:r w:rsidRPr="00206D8A">
        <w:rPr>
          <w:rFonts w:ascii="Adobe Arabic" w:hAnsi="Adobe Arabic" w:cs="Adobe Arabic"/>
          <w:sz w:val="24"/>
          <w:szCs w:val="24"/>
        </w:rPr>
        <w:t>.</w:t>
      </w:r>
    </w:p>
  </w:footnote>
  <w:footnote w:id="12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السيوطيّ، جلال الدين عبد الرحمن بن أبي بكر السيوطيّ، الاتقان في علوم القرآن، تحقيق: فوّاز أحمد زمرلي، دار الكتاب العربيّ، 1419هـ- 1999م، ج2، ص66</w:t>
      </w:r>
      <w:r w:rsidRPr="00206D8A">
        <w:rPr>
          <w:rFonts w:ascii="Adobe Arabic" w:hAnsi="Adobe Arabic" w:cs="Adobe Arabic"/>
          <w:sz w:val="24"/>
          <w:szCs w:val="24"/>
        </w:rPr>
        <w:t>.</w:t>
      </w:r>
    </w:p>
  </w:footnote>
  <w:footnote w:id="12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الحسينيّ البخاريّ القِنَّوجيّ، أبو الطيّب محمّد صديق خان بن حسن بن عليّ ابن لطف الله، فتحُ البيان في مقاصد القرآن، عني بطبعهِ وقدّم له وراجعه عَبد الله بن إبراهيم الأنصَاريّ، المَكتبة العصريَّة للطبَاعة والنّشْر، صَيدَا - بَيروت، 1412هـ- 1992م، ج11، ص85</w:t>
      </w:r>
      <w:r w:rsidRPr="00206D8A">
        <w:rPr>
          <w:rFonts w:ascii="Adobe Arabic" w:hAnsi="Adobe Arabic" w:cs="Adobe Arabic"/>
          <w:sz w:val="24"/>
          <w:szCs w:val="24"/>
        </w:rPr>
        <w:t>.</w:t>
      </w:r>
    </w:p>
  </w:footnote>
  <w:footnote w:id="12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الأنعام، الآية 145</w:t>
      </w:r>
      <w:r w:rsidRPr="00206D8A">
        <w:rPr>
          <w:rFonts w:ascii="Adobe Arabic" w:hAnsi="Adobe Arabic" w:cs="Adobe Arabic"/>
          <w:sz w:val="24"/>
          <w:szCs w:val="24"/>
        </w:rPr>
        <w:t>.</w:t>
      </w:r>
    </w:p>
  </w:footnote>
  <w:footnote w:id="12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التوبة، الآية 125</w:t>
      </w:r>
      <w:r w:rsidRPr="00206D8A">
        <w:rPr>
          <w:rFonts w:ascii="Adobe Arabic" w:hAnsi="Adobe Arabic" w:cs="Adobe Arabic"/>
          <w:sz w:val="24"/>
          <w:szCs w:val="24"/>
        </w:rPr>
        <w:t>.</w:t>
      </w:r>
    </w:p>
  </w:footnote>
  <w:footnote w:id="13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الأنعام، الآية 125</w:t>
      </w:r>
      <w:r w:rsidRPr="00206D8A">
        <w:rPr>
          <w:rFonts w:ascii="Adobe Arabic" w:hAnsi="Adobe Arabic" w:cs="Adobe Arabic"/>
          <w:sz w:val="24"/>
          <w:szCs w:val="24"/>
        </w:rPr>
        <w:t>.</w:t>
      </w:r>
    </w:p>
  </w:footnote>
  <w:footnote w:id="13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ج16، ص318</w:t>
      </w:r>
      <w:r w:rsidRPr="00206D8A">
        <w:rPr>
          <w:rFonts w:ascii="Adobe Arabic" w:hAnsi="Adobe Arabic" w:cs="Adobe Arabic"/>
          <w:sz w:val="24"/>
          <w:szCs w:val="24"/>
        </w:rPr>
        <w:t>.</w:t>
      </w:r>
    </w:p>
  </w:footnote>
  <w:footnote w:id="13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ج16، ص315؛ وانظر: الحسينيّ البخاريّ القِنَّوجي، فتحُ البيان في مقاصد القرآن، مصدر سابق، ج11، ص85</w:t>
      </w:r>
      <w:r w:rsidRPr="00206D8A">
        <w:rPr>
          <w:rFonts w:ascii="Adobe Arabic" w:hAnsi="Adobe Arabic" w:cs="Adobe Arabic"/>
          <w:sz w:val="24"/>
          <w:szCs w:val="24"/>
        </w:rPr>
        <w:t>.</w:t>
      </w:r>
    </w:p>
  </w:footnote>
  <w:footnote w:id="13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الفخر الرازيّ، أبو عبد الله محمّد بن عمر بن الحسن بن الحسين التيميّ، مفاتيح الغيب أو التفسير الكبير، دار إحياء التراث العربيّ، بيروت ط3، 1420هـ، ج25، ص168</w:t>
      </w:r>
      <w:r w:rsidRPr="00206D8A">
        <w:rPr>
          <w:rFonts w:ascii="Adobe Arabic" w:hAnsi="Adobe Arabic" w:cs="Adobe Arabic"/>
          <w:sz w:val="24"/>
          <w:szCs w:val="24"/>
        </w:rPr>
        <w:t>.</w:t>
      </w:r>
    </w:p>
  </w:footnote>
  <w:footnote w:id="13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الآية 30</w:t>
      </w:r>
      <w:r w:rsidRPr="00206D8A">
        <w:rPr>
          <w:rFonts w:ascii="Adobe Arabic" w:hAnsi="Adobe Arabic" w:cs="Adobe Arabic"/>
          <w:sz w:val="24"/>
          <w:szCs w:val="24"/>
        </w:rPr>
        <w:t>.</w:t>
      </w:r>
    </w:p>
  </w:footnote>
  <w:footnote w:id="13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الآية 32</w:t>
      </w:r>
      <w:r w:rsidRPr="00206D8A">
        <w:rPr>
          <w:rFonts w:ascii="Adobe Arabic" w:hAnsi="Adobe Arabic" w:cs="Adobe Arabic"/>
          <w:sz w:val="24"/>
          <w:szCs w:val="24"/>
        </w:rPr>
        <w:t>.</w:t>
      </w:r>
    </w:p>
  </w:footnote>
  <w:footnote w:id="13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الفخر الرازيّ، مفاتيح الغيب أو التفسير الكبير، مصدر سابق، ج25، ص168</w:t>
      </w:r>
      <w:r w:rsidRPr="00206D8A">
        <w:rPr>
          <w:rFonts w:ascii="Adobe Arabic" w:hAnsi="Adobe Arabic" w:cs="Adobe Arabic"/>
          <w:sz w:val="24"/>
          <w:szCs w:val="24"/>
        </w:rPr>
        <w:t>.</w:t>
      </w:r>
    </w:p>
  </w:footnote>
  <w:footnote w:id="13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59</w:t>
      </w:r>
      <w:r w:rsidRPr="00206D8A">
        <w:rPr>
          <w:rFonts w:ascii="Adobe Arabic" w:hAnsi="Adobe Arabic" w:cs="Adobe Arabic"/>
          <w:sz w:val="24"/>
          <w:szCs w:val="24"/>
        </w:rPr>
        <w:t>.</w:t>
      </w:r>
    </w:p>
  </w:footnote>
  <w:footnote w:id="13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الفخر الرازيّ، التفسير الكبير، مصدر سابق، ج10، ص112-113</w:t>
      </w:r>
      <w:r w:rsidRPr="00206D8A">
        <w:rPr>
          <w:rFonts w:ascii="Adobe Arabic" w:hAnsi="Adobe Arabic" w:cs="Adobe Arabic"/>
          <w:sz w:val="24"/>
          <w:szCs w:val="24"/>
        </w:rPr>
        <w:t>.</w:t>
      </w:r>
    </w:p>
  </w:footnote>
  <w:footnote w:id="13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ج4، ص400</w:t>
      </w:r>
      <w:r w:rsidRPr="00206D8A">
        <w:rPr>
          <w:rFonts w:ascii="Adobe Arabic" w:hAnsi="Adobe Arabic" w:cs="Adobe Arabic"/>
          <w:sz w:val="24"/>
          <w:szCs w:val="24"/>
        </w:rPr>
        <w:t>.</w:t>
      </w:r>
    </w:p>
  </w:footnote>
  <w:footnote w:id="14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العنكبوت، الآية 8</w:t>
      </w:r>
      <w:r w:rsidRPr="00206D8A">
        <w:rPr>
          <w:rFonts w:ascii="Adobe Arabic" w:hAnsi="Adobe Arabic" w:cs="Adobe Arabic"/>
          <w:sz w:val="24"/>
          <w:szCs w:val="24"/>
        </w:rPr>
        <w:t>.</w:t>
      </w:r>
    </w:p>
  </w:footnote>
  <w:footnote w:id="14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ج4، ص400-401؛ وانظر: الفخر الرازيّ، التفسير الكبير، مصدر سابق، ج10، ص114</w:t>
      </w:r>
      <w:r w:rsidRPr="00206D8A">
        <w:rPr>
          <w:rFonts w:ascii="Adobe Arabic" w:hAnsi="Adobe Arabic" w:cs="Adobe Arabic"/>
          <w:sz w:val="24"/>
          <w:szCs w:val="24"/>
        </w:rPr>
        <w:t>.</w:t>
      </w:r>
    </w:p>
  </w:footnote>
  <w:footnote w:id="14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الكلينيّ، أبو جعفر محمّد بن يعقوب، الكافي، صحّحه وعلّق عليه: عليّ أكبر الغفاريّ، دار الكتب الإسلاميّة مرتضى آخوندي، طهران، ط3، 1388ه‍، ج1، ص58 ح21</w:t>
      </w:r>
      <w:r w:rsidRPr="00206D8A">
        <w:rPr>
          <w:rFonts w:ascii="Adobe Arabic" w:hAnsi="Adobe Arabic" w:cs="Adobe Arabic"/>
          <w:sz w:val="24"/>
          <w:szCs w:val="24"/>
        </w:rPr>
        <w:t>.</w:t>
      </w:r>
    </w:p>
  </w:footnote>
  <w:footnote w:id="14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الطوسيّ، أبو جعفر محمّد بن الحسن، اختيار معرفة الرجال (رجال الكشّيّ)، تصحيح وتعليق: مير داماد الأسترآبادي، تحقيق: السيّد مهدي الرجائيّ، مؤسَّسة آل البيت (عليهم السلام)، لا.ت، لا.ط، ج2، ص490</w:t>
      </w:r>
      <w:r w:rsidRPr="00206D8A">
        <w:rPr>
          <w:rFonts w:ascii="Adobe Arabic" w:hAnsi="Adobe Arabic" w:cs="Adobe Arabic"/>
          <w:sz w:val="24"/>
          <w:szCs w:val="24"/>
        </w:rPr>
        <w:t>.</w:t>
      </w:r>
    </w:p>
  </w:footnote>
  <w:footnote w:id="14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الصفّار، أبو جعفر محمّد بن الحسن، بصائر الدرجات الكبرى في فضائل آل محمّد، تحقيق: السيّد محمّد السيّد حسين المعلّم، المكتبة الحيدريّة، قمّ – إيران، 1384هـ، ص320</w:t>
      </w:r>
      <w:r w:rsidRPr="00206D8A">
        <w:rPr>
          <w:rFonts w:ascii="Adobe Arabic" w:hAnsi="Adobe Arabic" w:cs="Adobe Arabic"/>
          <w:sz w:val="24"/>
          <w:szCs w:val="24"/>
        </w:rPr>
        <w:t>.</w:t>
      </w:r>
    </w:p>
  </w:footnote>
  <w:footnote w:id="14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أحصى بعض الباحثين المعاصرين 17 صحابيًّا (انظر درويش، زكريّا بركات، قرّة العين بحديث الثقلَين، ص40–41)</w:t>
      </w:r>
      <w:r w:rsidRPr="00206D8A">
        <w:rPr>
          <w:rFonts w:ascii="Adobe Arabic" w:hAnsi="Adobe Arabic" w:cs="Adobe Arabic"/>
          <w:sz w:val="24"/>
          <w:szCs w:val="24"/>
        </w:rPr>
        <w:t>.</w:t>
      </w:r>
    </w:p>
  </w:footnote>
  <w:footnote w:id="14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الميلانيّ، عليّ الحسينيّ، عبقات الأزهار في خلاصة عبقات الأنوار، نشر مركز الحقائق الإسلاميّة، لا.ت، لا.ط، ج2، ص227-236</w:t>
      </w:r>
      <w:r w:rsidRPr="00206D8A">
        <w:rPr>
          <w:rFonts w:ascii="Adobe Arabic" w:hAnsi="Adobe Arabic" w:cs="Adobe Arabic"/>
          <w:sz w:val="24"/>
          <w:szCs w:val="24"/>
        </w:rPr>
        <w:t>.</w:t>
      </w:r>
    </w:p>
  </w:footnote>
  <w:footnote w:id="14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قد أخرج الحديث عن زيد بن أرقم مثلًا، بما لا يقلّ عن تسعة طرق، وإن انتهت ثمانية منها إلى ثلاثة رواة عن زيد، هم: أبو الضحى مسلم بن صبيح، وأبو الطفيل عامر بن واثلة، ويزيد بن حيّان. انظر مثلًا: النيسابوري، المستدرك، مصدر سابق، كتاب معرفة الصحابة، ح4576، 4577، 4711، 6272؛ وانظر: الترمذي، محمد بن عيسى بن سورة، الجامع الصحيح (سنن الترمذي)، تحقيق وتصحيح: عبد الوهاب عبد اللطيف، دار الفكر للطباعة والنشر والتوزيع، لبنان - بيروت، 1403هـ-1983م، ط2، مناقب أهل بيت النبيّ، ح3720؛ وانظر: الطبراني، سليمان بن أحمد، المعجم الكبير، تحقيق وتخريج: حمدي عبد المجيد السلفي، دار إحياء التراث العربي، لا.م، لا.ت، ط2، باب من اسمه زيد، زيد بن أرقم، ح3838، 4847، 4848، 4886، 4887، 4889، 4901؛ وانظر: النسائي، أحمد بن شعيب، سنن النسائي، دار الفكر للطباعة والنشر والتوزيع، لبنان - بيروت، 1348-1930م، ط1، فضائل عليّ، ح6921، 6948، وبَابٌ قَوْلُ النبيّ (صلى الله عليه وآله): "مَنْ كُنْتُ وَلِيَّهُ فَعَلِيٌّ وَلِيُّه"، ح7235؛ وانظر: أحمد بن حنبل، المسند (مسند أحمد)، دار صادر، لبنان - بيروت، لا.ت، لا.ط، حديث زيد بن أرقم، ح18927، 18972</w:t>
      </w:r>
      <w:r w:rsidRPr="00206D8A">
        <w:rPr>
          <w:rFonts w:ascii="Adobe Arabic" w:hAnsi="Adobe Arabic" w:cs="Adobe Arabic"/>
          <w:sz w:val="24"/>
          <w:szCs w:val="24"/>
        </w:rPr>
        <w:t>.</w:t>
      </w:r>
    </w:p>
  </w:footnote>
  <w:footnote w:id="14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البحرانيّ، هاشم، غاية المرام وحجّة الخصام، تحقيق: السيّد عليّ عاشور، مؤسَّسة التاريخ العربيّ، ط1، 1422هـ - 2001م، ج2، ص321</w:t>
      </w:r>
      <w:r w:rsidRPr="00206D8A">
        <w:rPr>
          <w:rFonts w:ascii="Adobe Arabic" w:hAnsi="Adobe Arabic" w:cs="Adobe Arabic"/>
          <w:sz w:val="24"/>
          <w:szCs w:val="24"/>
        </w:rPr>
        <w:t>.</w:t>
      </w:r>
    </w:p>
  </w:footnote>
  <w:footnote w:id="14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الهيثميّ، أبو العبّاس أحمد بن محمّد بن محمّد بن عليّ ابن حجر، الصواعق المحرقة، تحقيق: عبد الرحمن بن عبد الله التركيّ وكامل محمّد الخرّاط، مؤسَّسة الرسالة، بيروت، ط1، 1997م، ج2، ص440</w:t>
      </w:r>
      <w:r w:rsidRPr="00206D8A">
        <w:rPr>
          <w:rFonts w:ascii="Adobe Arabic" w:hAnsi="Adobe Arabic" w:cs="Adobe Arabic"/>
          <w:sz w:val="24"/>
          <w:szCs w:val="24"/>
        </w:rPr>
        <w:t>.</w:t>
      </w:r>
    </w:p>
  </w:footnote>
  <w:footnote w:id="15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سنن الترمذيّ، مصدر سابق، ح3786؛ والمعجم الكبير للطبرانيّ، مصدر سابق، ح2615</w:t>
      </w:r>
      <w:r w:rsidRPr="00206D8A">
        <w:rPr>
          <w:rFonts w:ascii="Adobe Arabic" w:hAnsi="Adobe Arabic" w:cs="Adobe Arabic"/>
          <w:sz w:val="24"/>
          <w:szCs w:val="24"/>
        </w:rPr>
        <w:t>.</w:t>
      </w:r>
    </w:p>
  </w:footnote>
  <w:footnote w:id="15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كذلك وردت في المصدر، ولعلّ الأنسب (تعلّموهم) كما ورد في رواية الطبرانيّ</w:t>
      </w:r>
      <w:r w:rsidRPr="00206D8A">
        <w:rPr>
          <w:rFonts w:ascii="Adobe Arabic" w:hAnsi="Adobe Arabic" w:cs="Adobe Arabic"/>
          <w:sz w:val="24"/>
          <w:szCs w:val="24"/>
        </w:rPr>
        <w:t>.</w:t>
      </w:r>
    </w:p>
  </w:footnote>
  <w:footnote w:id="15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الهنديّ، علاء الدين عليّ المتّقيّ بن حسام الدين، كنز العمّال في سنن الأقوال والأفعال، تحقيق: محمود عمر الدمياطيّ، دار الكتب العلميّة، لا.ت، لا.ط، ج1، كتاب الإيمان والإسلام، قسم الأقوال، ح953، ص107</w:t>
      </w:r>
      <w:r w:rsidRPr="00206D8A">
        <w:rPr>
          <w:rFonts w:ascii="Adobe Arabic" w:hAnsi="Adobe Arabic" w:cs="Adobe Arabic"/>
          <w:sz w:val="24"/>
          <w:szCs w:val="24"/>
        </w:rPr>
        <w:t>.</w:t>
      </w:r>
    </w:p>
  </w:footnote>
  <w:footnote w:id="15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كذا في المصدر</w:t>
      </w:r>
      <w:r w:rsidRPr="00206D8A">
        <w:rPr>
          <w:rFonts w:ascii="Adobe Arabic" w:hAnsi="Adobe Arabic" w:cs="Adobe Arabic"/>
          <w:sz w:val="24"/>
          <w:szCs w:val="24"/>
        </w:rPr>
        <w:t>.</w:t>
      </w:r>
    </w:p>
  </w:footnote>
  <w:footnote w:id="15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عقدة الكوفي، الولاية، لا.ن، لا.م، لا.ت، لا.ط، ص242؛ القندوزي، الشيخ سليمان بن إبراهيم الحنفي، ينابيع المودة لذوي القربى، تحقيق: السيد عليجم الأشرف الحسيني، دار الأسوة للطباعة والنشر، إيران- قم، 1416هـ، ط1، ج1، ص124 ح56</w:t>
      </w:r>
      <w:r w:rsidRPr="00206D8A">
        <w:rPr>
          <w:rFonts w:ascii="Adobe Arabic" w:hAnsi="Adobe Arabic" w:cs="Adobe Arabic"/>
          <w:sz w:val="24"/>
          <w:szCs w:val="24"/>
        </w:rPr>
        <w:t>.</w:t>
      </w:r>
    </w:p>
  </w:footnote>
  <w:footnote w:id="15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الحلبيّ، عليّ بن إبراهيم بن أحمد الحلبيّ، إنسان العيون في سيرة الأمين المأمون، دار الكتب العلميّة، بيروت، ط2، 1427ه‍، ج3، ص361</w:t>
      </w:r>
      <w:r w:rsidRPr="00206D8A">
        <w:rPr>
          <w:rFonts w:ascii="Adobe Arabic" w:hAnsi="Adobe Arabic" w:cs="Adobe Arabic"/>
          <w:sz w:val="24"/>
          <w:szCs w:val="24"/>
        </w:rPr>
        <w:t>.</w:t>
      </w:r>
    </w:p>
  </w:footnote>
  <w:footnote w:id="15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ابن عساكر الدمشقيّ، أبو القاسم عليّ بن الحسن بن هبة الله، تاريخ مدينة دمشق، تحقيق: مصطفى عبد القادر عطا، دار الكتب العلميّة، لا.ت، لا.ط، ج23، تتمّة حرف العين (عليّ بن أحمد بن إبراهيم – عليّ أبو الحسن)، ص367</w:t>
      </w:r>
      <w:r w:rsidRPr="00206D8A">
        <w:rPr>
          <w:rFonts w:ascii="Adobe Arabic" w:hAnsi="Adobe Arabic" w:cs="Adobe Arabic"/>
          <w:sz w:val="24"/>
          <w:szCs w:val="24"/>
        </w:rPr>
        <w:t>.</w:t>
      </w:r>
    </w:p>
  </w:footnote>
  <w:footnote w:id="15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الدوح: البيت الضخم الكبير من الشعر (الزبيديّ، تاج العروس، مصدر سابق، ج4، ص37) والدوح: جمع دوحة: الشجرة العظيمة، من أيّ الشجر كان (الجوهري، إسماعيل بن حماد، الصحاح، تحقيق: أحمد عبد الغفور العطار، دار العلم للملايين، لبنان- بيروت، 1407هـ- 1987م، ط4، ج1، ص361)</w:t>
      </w:r>
      <w:r w:rsidRPr="00206D8A">
        <w:rPr>
          <w:rFonts w:ascii="Adobe Arabic" w:hAnsi="Adobe Arabic" w:cs="Adobe Arabic"/>
          <w:sz w:val="24"/>
          <w:szCs w:val="24"/>
        </w:rPr>
        <w:t>.</w:t>
      </w:r>
    </w:p>
  </w:footnote>
  <w:footnote w:id="15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الكَسْحُ: الكَنْسُ؛ كَسَحَ البيتَ والبئر يَكْسَحُه كَسْحاً: كَنَسه. (لسان العرب، ابن منظور، مصدر سابق، ج2، ص571)، والمراد تسوية الأرض</w:t>
      </w:r>
      <w:r w:rsidRPr="00206D8A">
        <w:rPr>
          <w:rFonts w:ascii="Adobe Arabic" w:hAnsi="Adobe Arabic" w:cs="Adobe Arabic"/>
          <w:sz w:val="24"/>
          <w:szCs w:val="24"/>
        </w:rPr>
        <w:t>.</w:t>
      </w:r>
    </w:p>
  </w:footnote>
  <w:footnote w:id="15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الحاكم النيسابوريّ، أبو عبد الله محمّد بن عبد الله، المستدرك على الصحيحَين، دار الكتب العلميّة، بيروت، تحقيق: مصطفى عبد القادر عطا، ط1، 1411هـ–1990م، ج3، ص613، ح6272، (قال الحاكم: "هذا حديث صحيح الإسناد ولم يخرجاه"، ووافقه الذهبيّ)</w:t>
      </w:r>
      <w:r w:rsidRPr="00206D8A">
        <w:rPr>
          <w:rFonts w:ascii="Adobe Arabic" w:hAnsi="Adobe Arabic" w:cs="Adobe Arabic"/>
          <w:sz w:val="24"/>
          <w:szCs w:val="24"/>
        </w:rPr>
        <w:t>.</w:t>
      </w:r>
    </w:p>
  </w:footnote>
  <w:footnote w:id="16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السخاويّ، شمس الدين محمّد بن عبد الرحمن، استجلاب ارتقاء الغرف بحبّ أقرباء الرسول (صلى الله عليه وآله) وذوي الشرف، تحقيق: محمّد أمين الضناوي، دار الكتب العلميّة، بيروت، لا.ت، لا.ط، ص51</w:t>
      </w:r>
      <w:r w:rsidRPr="00206D8A">
        <w:rPr>
          <w:rFonts w:ascii="Adobe Arabic" w:hAnsi="Adobe Arabic" w:cs="Adobe Arabic"/>
          <w:sz w:val="24"/>
          <w:szCs w:val="24"/>
        </w:rPr>
        <w:t>.</w:t>
      </w:r>
    </w:p>
  </w:footnote>
  <w:footnote w:id="16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الزبيديّ، محمّد مرتضى الحسينيّ، تاج العروس من جواهر القاموس، تحقيق: الدكتور محمود محمّد الطناحيّ، راجعه عبد السلام محمّد هارون ولجنة فنيّة من وزارة الإعلام، 1413ه‍.ق-1993م، ج28، ص156</w:t>
      </w:r>
      <w:r w:rsidRPr="00206D8A">
        <w:rPr>
          <w:rFonts w:ascii="Adobe Arabic" w:hAnsi="Adobe Arabic" w:cs="Adobe Arabic"/>
          <w:sz w:val="24"/>
          <w:szCs w:val="24"/>
        </w:rPr>
        <w:t>.</w:t>
      </w:r>
    </w:p>
  </w:footnote>
  <w:footnote w:id="16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منظور، لسان العرب، مصدر سابق، ج11، ص88</w:t>
      </w:r>
      <w:r w:rsidRPr="00206D8A">
        <w:rPr>
          <w:rFonts w:ascii="Adobe Arabic" w:hAnsi="Adobe Arabic" w:cs="Adobe Arabic"/>
          <w:sz w:val="24"/>
          <w:szCs w:val="24"/>
        </w:rPr>
        <w:t>.</w:t>
      </w:r>
    </w:p>
  </w:footnote>
  <w:footnote w:id="16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أبو العبّاس ابن عقدة، كتاب الولاية، مصدر سابق، ص242</w:t>
      </w:r>
      <w:r w:rsidRPr="00206D8A">
        <w:rPr>
          <w:rFonts w:ascii="Adobe Arabic" w:hAnsi="Adobe Arabic" w:cs="Adobe Arabic"/>
          <w:sz w:val="24"/>
          <w:szCs w:val="24"/>
        </w:rPr>
        <w:t>.</w:t>
      </w:r>
    </w:p>
  </w:footnote>
  <w:footnote w:id="16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المعجم الكبير للطبرانيّ، مصدر سابق، حديث رقم 3052، وبلفظ "أوشك أن أدعى..." ح4971</w:t>
      </w:r>
      <w:r w:rsidRPr="00206D8A">
        <w:rPr>
          <w:rFonts w:ascii="Adobe Arabic" w:hAnsi="Adobe Arabic" w:cs="Adobe Arabic"/>
          <w:sz w:val="24"/>
          <w:szCs w:val="24"/>
        </w:rPr>
        <w:t>.</w:t>
      </w:r>
    </w:p>
  </w:footnote>
  <w:footnote w:id="16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سنن النسائيّ، مصدر سابق، ح8148 و 8464</w:t>
      </w:r>
      <w:r w:rsidRPr="00206D8A">
        <w:rPr>
          <w:rFonts w:ascii="Adobe Arabic" w:hAnsi="Adobe Arabic" w:cs="Adobe Arabic"/>
          <w:sz w:val="24"/>
          <w:szCs w:val="24"/>
        </w:rPr>
        <w:t>.</w:t>
      </w:r>
    </w:p>
  </w:footnote>
  <w:footnote w:id="16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الرضيّ، محمّد بن حسين، المجازات النبويّة، تصحيح: مهدي هوشمند، مؤسَّسة دار الحديث للثقافة، قمّ، 1422ه‍.ق، ص208</w:t>
      </w:r>
      <w:r w:rsidRPr="00206D8A">
        <w:rPr>
          <w:rFonts w:ascii="Adobe Arabic" w:hAnsi="Adobe Arabic" w:cs="Adobe Arabic"/>
          <w:sz w:val="24"/>
          <w:szCs w:val="24"/>
        </w:rPr>
        <w:t>.</w:t>
      </w:r>
    </w:p>
  </w:footnote>
  <w:footnote w:id="16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الجوهريّ، الصحاح، مصدر سابق، ج2، ص537</w:t>
      </w:r>
      <w:r w:rsidRPr="00206D8A">
        <w:rPr>
          <w:rFonts w:ascii="Adobe Arabic" w:hAnsi="Adobe Arabic" w:cs="Adobe Arabic"/>
          <w:sz w:val="24"/>
          <w:szCs w:val="24"/>
        </w:rPr>
        <w:t>.</w:t>
      </w:r>
    </w:p>
  </w:footnote>
  <w:footnote w:id="16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منظور، لسان العرب، مصدر سابق، ج4، ص538</w:t>
      </w:r>
      <w:r w:rsidRPr="00206D8A">
        <w:rPr>
          <w:rFonts w:ascii="Adobe Arabic" w:hAnsi="Adobe Arabic" w:cs="Adobe Arabic"/>
          <w:sz w:val="24"/>
          <w:szCs w:val="24"/>
        </w:rPr>
        <w:t>.</w:t>
      </w:r>
    </w:p>
  </w:footnote>
  <w:footnote w:id="16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الآية 33</w:t>
      </w:r>
      <w:r w:rsidRPr="00206D8A">
        <w:rPr>
          <w:rFonts w:ascii="Adobe Arabic" w:hAnsi="Adobe Arabic" w:cs="Adobe Arabic"/>
          <w:sz w:val="24"/>
          <w:szCs w:val="24"/>
        </w:rPr>
        <w:t>.</w:t>
      </w:r>
    </w:p>
  </w:footnote>
  <w:footnote w:id="17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هود، الآية 46</w:t>
      </w:r>
      <w:r w:rsidRPr="00206D8A">
        <w:rPr>
          <w:rFonts w:ascii="Adobe Arabic" w:hAnsi="Adobe Arabic" w:cs="Adobe Arabic"/>
          <w:sz w:val="24"/>
          <w:szCs w:val="24"/>
        </w:rPr>
        <w:t>.</w:t>
      </w:r>
    </w:p>
  </w:footnote>
  <w:footnote w:id="17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الأحزاب، الآية 33</w:t>
      </w:r>
      <w:r w:rsidRPr="00206D8A">
        <w:rPr>
          <w:rFonts w:ascii="Adobe Arabic" w:hAnsi="Adobe Arabic" w:cs="Adobe Arabic"/>
          <w:sz w:val="24"/>
          <w:szCs w:val="24"/>
        </w:rPr>
        <w:t>.</w:t>
      </w:r>
    </w:p>
  </w:footnote>
  <w:footnote w:id="17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أحصى صاحب غاية المرام ما يقرب من 40 حديثًا عند العامّة في نزولها في الخمسة أصحاب الكساء، و34 حديثا عند الخاصّة في نزولها فيهم وفي الأئمّة التسعة من ذرّيّة الحسين</w:t>
      </w:r>
      <w:r w:rsidRPr="00206D8A">
        <w:rPr>
          <w:rFonts w:ascii="Adobe Arabic" w:hAnsi="Adobe Arabic" w:cs="Adobe Arabic"/>
          <w:sz w:val="24"/>
          <w:szCs w:val="24"/>
        </w:rPr>
        <w:t xml:space="preserve"> (</w:t>
      </w:r>
      <w:r w:rsidRPr="00206D8A">
        <w:rPr>
          <w:rFonts w:ascii="Adobe Arabic" w:hAnsi="Adobe Arabic" w:cs="Adobe Arabic"/>
          <w:sz w:val="24"/>
          <w:szCs w:val="24"/>
          <w:rtl/>
        </w:rPr>
        <w:t>عليه السلام</w:t>
      </w:r>
      <w:r w:rsidRPr="00206D8A">
        <w:rPr>
          <w:rFonts w:ascii="Adobe Arabic" w:hAnsi="Adobe Arabic" w:cs="Adobe Arabic"/>
          <w:sz w:val="24"/>
          <w:szCs w:val="24"/>
        </w:rPr>
        <w:t>). (</w:t>
      </w:r>
      <w:r w:rsidRPr="00206D8A">
        <w:rPr>
          <w:rFonts w:ascii="Adobe Arabic" w:hAnsi="Adobe Arabic" w:cs="Adobe Arabic"/>
          <w:sz w:val="24"/>
          <w:szCs w:val="24"/>
          <w:rtl/>
        </w:rPr>
        <w:t>انظر: غاية المرام، مصدر سابق، ج3، ص173-211</w:t>
      </w:r>
      <w:r w:rsidRPr="00206D8A">
        <w:rPr>
          <w:rFonts w:ascii="Adobe Arabic" w:hAnsi="Adobe Arabic" w:cs="Adobe Arabic"/>
          <w:sz w:val="24"/>
          <w:szCs w:val="24"/>
        </w:rPr>
        <w:t>).</w:t>
      </w:r>
    </w:p>
  </w:footnote>
  <w:footnote w:id="17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لمزيد من التفصيل، انظر كذلك ما رواه الترمذيّ: الترمذيّ، محمّد بن عيسى بن سورة الترمذيّ، سنن الترمذيّ، دار الكتب العلميّة، لا.ت، لا.ط، ج5، ح3205 و3259</w:t>
      </w:r>
      <w:r w:rsidRPr="00206D8A">
        <w:rPr>
          <w:rFonts w:ascii="Adobe Arabic" w:hAnsi="Adobe Arabic" w:cs="Adobe Arabic"/>
          <w:sz w:val="24"/>
          <w:szCs w:val="24"/>
        </w:rPr>
        <w:t>.</w:t>
      </w:r>
    </w:p>
  </w:footnote>
  <w:footnote w:id="17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البرمة: القِدر من الحجارة، والخزير: لحم يُقطع قطعًا صغارًا، ثمّ يُطبَخ بماء كثير وملح، فإذا اكتمل نضجه، ذُرَّ عليه الدقيق وعصد به</w:t>
      </w:r>
      <w:r w:rsidRPr="00206D8A">
        <w:rPr>
          <w:rFonts w:ascii="Adobe Arabic" w:hAnsi="Adobe Arabic" w:cs="Adobe Arabic"/>
          <w:sz w:val="24"/>
          <w:szCs w:val="24"/>
        </w:rPr>
        <w:t>.</w:t>
      </w:r>
    </w:p>
  </w:footnote>
  <w:footnote w:id="17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حنبل، أبو عبد الله الشيبانيّ أحمد، المسند، مؤسَّسة قرطبة، القاهرة، لا.ت، لا.ط، ج6، ص 292، ح26551. وعلّق شعيب الأرناؤوط على هذا الحديث قائلًا: حديث صحيح. وله ثلاثة أسانيد: الأوّل ضعيف لإبهام الراوي عن أمّ سلمة، والثاني إسناده صحيح، والثالث ضعيف لضعف شهر بن حوشب</w:t>
      </w:r>
      <w:r w:rsidRPr="00206D8A">
        <w:rPr>
          <w:rFonts w:ascii="Adobe Arabic" w:hAnsi="Adobe Arabic" w:cs="Adobe Arabic"/>
          <w:sz w:val="24"/>
          <w:szCs w:val="24"/>
        </w:rPr>
        <w:t>.</w:t>
      </w:r>
    </w:p>
  </w:footnote>
  <w:footnote w:id="17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حنبل، أبو عبد الله الشيبانيّ أحمد، المسند، حقّقه وخرّج أحاديثه وعلّق عليه: شعيب الأرنؤوط - محمّد نعيم العرقسوسيّ - إبراهيم الزيبق - محمّد أنس الخن، مؤسَّسة الرسالة، ج44، ص217، ح26597. ورواه الترمذيّ بالسند عينه، بواسطة زائدة، هو محمود بن غيلان. انظر: الترمذيّ، سنن الترمذيّ، حقّقه وصحّحه عبد الرحمن محمّد عثمان، دار الفكر للطباعة والنشر والتوزيع، بيروت، ج5، ص360–361، ح3963. قال الترمذيّ تعقيبًا على الحديث: "هذا حديث حسن صحيح، وهو أحسن شيء: رُوِيَ في هذا الباب". والسند الثالث هو: "حَدَّثَنَا مُحَمَّدُ بْنُ مُصْعَبٍ، قَالَ: حَدَّثَنَا الْأَوْزَاعِيُّ عن شداد أبي عمّار، قال: دخلتُ على واثلة بن الأسقع، وعنده قوم، فذكروا عليًّا، فلمّا قاموا، قال لي: ألَا أخبرُك بما رأيتُ من رسول الله (صلى الله عليه وآله)؟ قلت: بلى، قال: أتيتُ فاطمة (رضي الله تعالى عنها) أسألها عن عليّ، قالت: توجَّه إلى رسول الله (صلى الله عليه وآله). فجلستُ أنتظره حتّى جاء رسول الله (صلى الله عليه وآله)، ومعه عليّ وحسن وحسين (رضي الله تعالى عنهم)، آخذ كلّ واحد منهما بيده، حتّى دخل فأدنى عليًّا وفاطمة، فأجلسهما بين يدَيه، وأجلس حسنًا وحسينًا، كلَّ واحد منهما على فخذه، ثمّ لفّ عليهم ثوبه -أو قال: كساء- ثمّ تلا هذه الآية: ﴿إِنَّمَا يُرِيدُ ٱللَّهُ لِيُذ</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هِبَ</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عَنكُمُ</w:t>
      </w:r>
      <w:r w:rsidRPr="00206D8A">
        <w:rPr>
          <w:rFonts w:ascii="Adobe Arabic" w:hAnsi="Adobe Arabic" w:cs="Adobe Arabic"/>
          <w:sz w:val="24"/>
          <w:szCs w:val="24"/>
          <w:rtl/>
        </w:rPr>
        <w:t xml:space="preserve"> ٱلرِّج</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سَ</w:t>
      </w:r>
      <w:r w:rsidRPr="00206D8A">
        <w:rPr>
          <w:rFonts w:ascii="Adobe Arabic" w:hAnsi="Adobe Arabic" w:cs="Adobe Arabic"/>
          <w:sz w:val="24"/>
          <w:szCs w:val="24"/>
          <w:rtl/>
        </w:rPr>
        <w:t xml:space="preserve"> أَه</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لَ</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بَي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تِ</w:t>
      </w:r>
      <w:r w:rsidRPr="00206D8A">
        <w:rPr>
          <w:rFonts w:ascii="Adobe Arabic" w:hAnsi="Adobe Arabic" w:cs="Adobe Arabic"/>
          <w:sz w:val="24"/>
          <w:szCs w:val="24"/>
          <w:rtl/>
        </w:rPr>
        <w:t xml:space="preserve"> وَيُطَهِّرَكُم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تَط</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هِيرا﴾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الأحزاب</w:t>
      </w:r>
      <w:r w:rsidRPr="00206D8A">
        <w:rPr>
          <w:rFonts w:ascii="Adobe Arabic" w:hAnsi="Adobe Arabic" w:cs="Adobe Arabic"/>
          <w:sz w:val="24"/>
          <w:szCs w:val="24"/>
          <w:rtl/>
        </w:rPr>
        <w:t>: 33]</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وقال</w:t>
      </w:r>
      <w:r w:rsidRPr="00206D8A">
        <w:rPr>
          <w:rFonts w:ascii="Adobe Arabic" w:hAnsi="Adobe Arabic" w:cs="Adobe Arabic"/>
          <w:sz w:val="24"/>
          <w:szCs w:val="24"/>
          <w:rtl/>
        </w:rPr>
        <w:t>: "</w:t>
      </w:r>
      <w:r w:rsidRPr="00206D8A">
        <w:rPr>
          <w:rFonts w:ascii="Adobe Arabic" w:hAnsi="Adobe Arabic" w:cs="Adobe Arabic" w:hint="cs"/>
          <w:sz w:val="24"/>
          <w:szCs w:val="24"/>
          <w:rtl/>
        </w:rPr>
        <w:t>اللهمّ،</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هؤلاء</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أهل</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بيتي،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وأهل</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بيتي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أحقّ</w:t>
      </w:r>
      <w:r w:rsidRPr="00206D8A">
        <w:rPr>
          <w:rFonts w:ascii="Adobe Arabic" w:hAnsi="Adobe Arabic" w:cs="Adobe Arabic"/>
          <w:sz w:val="24"/>
          <w:szCs w:val="24"/>
          <w:rtl/>
        </w:rPr>
        <w:t>". (</w:t>
      </w:r>
      <w:r w:rsidRPr="00206D8A">
        <w:rPr>
          <w:rFonts w:ascii="Adobe Arabic" w:hAnsi="Adobe Arabic" w:cs="Adobe Arabic" w:hint="cs"/>
          <w:sz w:val="24"/>
          <w:szCs w:val="24"/>
          <w:rtl/>
        </w:rPr>
        <w:t>السنديّ،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أبو</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الح</w:t>
      </w:r>
      <w:r w:rsidRPr="00206D8A">
        <w:rPr>
          <w:rFonts w:ascii="Adobe Arabic" w:hAnsi="Adobe Arabic" w:cs="Adobe Arabic"/>
          <w:sz w:val="24"/>
          <w:szCs w:val="24"/>
          <w:rtl/>
        </w:rPr>
        <w:t>سن نور الدين محمّد بن عبد الهادي، حاشية مسند الإمام أحمد بن حنبل، وزارة الأوقاف والشؤون الإسلاميّة في دولة قطر، ط1، 1428هـ- 2008م، ج10، ص58، ح16540. قال السنديّ في شرح الحديث: " قوله: "وأهل بيتي أحقّ": أي: بهذه الكرامة، وهي إذهاب الرجس والتطهير")</w:t>
      </w:r>
      <w:r w:rsidRPr="00206D8A">
        <w:rPr>
          <w:rFonts w:ascii="Adobe Arabic" w:hAnsi="Adobe Arabic" w:cs="Adobe Arabic"/>
          <w:sz w:val="24"/>
          <w:szCs w:val="24"/>
        </w:rPr>
        <w:t>.</w:t>
      </w:r>
    </w:p>
  </w:footnote>
  <w:footnote w:id="17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الكلينيّ، محمّد بن يعقوب، الأصول من الكافي، صحّحه وعلّق عليه: علي أكبر الغفاريّ، دار الكتب الإسلاميّة، تهران - بازار سلطاني، ط3، 1388ه‍، ج1، ص287. وقد رواه بطريقَين إلى أبي بصير</w:t>
      </w:r>
      <w:r w:rsidRPr="00206D8A">
        <w:rPr>
          <w:rFonts w:ascii="Adobe Arabic" w:hAnsi="Adobe Arabic" w:cs="Adobe Arabic"/>
          <w:sz w:val="24"/>
          <w:szCs w:val="24"/>
        </w:rPr>
        <w:t>.</w:t>
      </w:r>
    </w:p>
  </w:footnote>
  <w:footnote w:id="17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الصدوق، الشيخ محمد بن علي، علل الشرائع، تقديم: السيد محمد صادق بحر العلوم، المكتبة الحيدرية، العراق - النجف الأشرف، 1385هـ - 1966م، لا.ط، باب 156 - العلة التي من أجلها صارت الإمامة في ولد الحسين، ح1</w:t>
      </w:r>
      <w:r w:rsidRPr="00206D8A">
        <w:rPr>
          <w:rFonts w:ascii="Adobe Arabic" w:hAnsi="Adobe Arabic" w:cs="Adobe Arabic"/>
          <w:sz w:val="24"/>
          <w:szCs w:val="24"/>
        </w:rPr>
        <w:t>.</w:t>
      </w:r>
    </w:p>
  </w:footnote>
  <w:footnote w:id="17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إشارة إلى ما رُوِيَ عنه (صلى الله عليه وآله): "النجوم أمانٌ لأهل السماء، وأهل بيتي أمانٌ لأهل الأرض؛ فإذا ذهب أهل بيتي، ذهب أهل الأرض" (أحمد بن حنبل، فضائل أمير المؤمنين علي بن أبي طالب (رض)، من مخطوطات موقع مركز الفقيه العاملي لإحياء التراث، لا.ت، لا.ط، ح1145)</w:t>
      </w:r>
      <w:r w:rsidRPr="00206D8A">
        <w:rPr>
          <w:rFonts w:ascii="Adobe Arabic" w:hAnsi="Adobe Arabic" w:cs="Adobe Arabic"/>
          <w:sz w:val="24"/>
          <w:szCs w:val="24"/>
        </w:rPr>
        <w:t>.</w:t>
      </w:r>
    </w:p>
  </w:footnote>
  <w:footnote w:id="18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السمهوديّ، جواهر العقدَين في فضل الشرفَين، مصدر سابق، ص244</w:t>
      </w:r>
      <w:r w:rsidRPr="00206D8A">
        <w:rPr>
          <w:rFonts w:ascii="Adobe Arabic" w:hAnsi="Adobe Arabic" w:cs="Adobe Arabic"/>
          <w:sz w:val="24"/>
          <w:szCs w:val="24"/>
        </w:rPr>
        <w:t>.</w:t>
      </w:r>
    </w:p>
  </w:footnote>
  <w:footnote w:id="18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إشارة إلى ما أخرجه الملّا في سيرته عن رسول الله (صلى الله عليه وآله): "في كلّ خلف من أمّتي عدول من أهل بيتي، ينفون عن هذا الدين تحريف الضالّين وانتحال المبطلين وتأويل الجاهلين. ألَا وإنّ أئمّتكم وفدكم إلى الله عزَّ وجلَّ فانظروا مَن توفدون</w:t>
      </w:r>
      <w:r w:rsidRPr="00206D8A">
        <w:rPr>
          <w:rFonts w:ascii="Adobe Arabic" w:hAnsi="Adobe Arabic" w:cs="Adobe Arabic"/>
          <w:sz w:val="24"/>
          <w:szCs w:val="24"/>
        </w:rPr>
        <w:t>".</w:t>
      </w:r>
    </w:p>
  </w:footnote>
  <w:footnote w:id="18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الهيثميّ، الصواعق المحرقة، مصدر سابق، ج2، ص442</w:t>
      </w:r>
      <w:r w:rsidRPr="00206D8A">
        <w:rPr>
          <w:rFonts w:ascii="Adobe Arabic" w:hAnsi="Adobe Arabic" w:cs="Adobe Arabic"/>
          <w:sz w:val="24"/>
          <w:szCs w:val="24"/>
        </w:rPr>
        <w:t>.</w:t>
      </w:r>
    </w:p>
  </w:footnote>
  <w:footnote w:id="18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رُوِيَ المضمون -كون الأئمّة أو الأمراء اثنا عشر- بأسانيد متعدّدة عند الفريقين (انظر مثلًا: الطوسي، الشيخ محمد بن الحسن، الغيبة، تحقيق: الشيخ عباد الله الطهراني والشيخ علي أحمد ناصح، مؤسسة المعارف الإسلامية، إيران - قم، 1411هـ، ط1،، ص157، ح96؛ وانظر مثلًا: المتقي الهندي، كنز العمّال، مصدر سابق، من حديث 33848 إلى ح33861)</w:t>
      </w:r>
      <w:r w:rsidRPr="00206D8A">
        <w:rPr>
          <w:rFonts w:ascii="Adobe Arabic" w:hAnsi="Adobe Arabic" w:cs="Adobe Arabic"/>
          <w:sz w:val="24"/>
          <w:szCs w:val="24"/>
        </w:rPr>
        <w:t>.</w:t>
      </w:r>
    </w:p>
  </w:footnote>
  <w:footnote w:id="18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أو المقطع الخاصّ المعروف الذي نزل منفردًا عن الآية، وفق الترتيب الحاليّ للمصحف</w:t>
      </w:r>
      <w:r w:rsidRPr="00206D8A">
        <w:rPr>
          <w:rFonts w:ascii="Adobe Arabic" w:hAnsi="Adobe Arabic" w:cs="Adobe Arabic"/>
          <w:sz w:val="24"/>
          <w:szCs w:val="24"/>
        </w:rPr>
        <w:t>.</w:t>
      </w:r>
    </w:p>
  </w:footnote>
  <w:footnote w:id="18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فصّلت، الآيتان 41 - 42</w:t>
      </w:r>
      <w:r w:rsidRPr="00206D8A">
        <w:rPr>
          <w:rFonts w:ascii="Adobe Arabic" w:hAnsi="Adobe Arabic" w:cs="Adobe Arabic"/>
          <w:sz w:val="24"/>
          <w:szCs w:val="24"/>
        </w:rPr>
        <w:t>.</w:t>
      </w:r>
    </w:p>
  </w:footnote>
  <w:footnote w:id="18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قد يُستثنَى من ذلك من السنّة الشريفة، ما صدر عنهم على وجه التقيّة ونحوها</w:t>
      </w:r>
      <w:r w:rsidRPr="00206D8A">
        <w:rPr>
          <w:rFonts w:ascii="Adobe Arabic" w:hAnsi="Adobe Arabic" w:cs="Adobe Arabic"/>
          <w:sz w:val="24"/>
          <w:szCs w:val="24"/>
        </w:rPr>
        <w:t>.</w:t>
      </w:r>
    </w:p>
  </w:footnote>
  <w:footnote w:id="18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العنكبوت، الآية 49</w:t>
      </w:r>
      <w:r w:rsidRPr="00206D8A">
        <w:rPr>
          <w:rFonts w:ascii="Adobe Arabic" w:hAnsi="Adobe Arabic" w:cs="Adobe Arabic"/>
          <w:sz w:val="24"/>
          <w:szCs w:val="24"/>
        </w:rPr>
        <w:t>.</w:t>
      </w:r>
    </w:p>
  </w:footnote>
  <w:footnote w:id="18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أشرنا في الدرس الأوّل إلى أنّ هذا العلم هو بلحاظ بعض المراتب الغيبيّة للكتاب</w:t>
      </w:r>
      <w:r w:rsidRPr="00206D8A">
        <w:rPr>
          <w:rFonts w:ascii="Adobe Arabic" w:hAnsi="Adobe Arabic" w:cs="Adobe Arabic"/>
          <w:sz w:val="24"/>
          <w:szCs w:val="24"/>
        </w:rPr>
        <w:t>.</w:t>
      </w:r>
    </w:p>
  </w:footnote>
  <w:footnote w:id="18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الواقعة، الآيات 77 - 78 - 79</w:t>
      </w:r>
      <w:r w:rsidRPr="00206D8A">
        <w:rPr>
          <w:rFonts w:ascii="Adobe Arabic" w:hAnsi="Adobe Arabic" w:cs="Adobe Arabic"/>
          <w:sz w:val="24"/>
          <w:szCs w:val="24"/>
        </w:rPr>
        <w:t>.</w:t>
      </w:r>
    </w:p>
  </w:footnote>
  <w:footnote w:id="19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في تحديد المراد من الواو في قوله تعالى: ﴿وَٱلرَّٰسِخُونَ﴾ ودورها، قولان؛ أحدهما أنّها استئنافيّة، بمعنى كون الراسخين في العلم طرفًا للترديد الذي يدلّ عليه قوله في صدر الآية ﴿فَأَمَّا ٱلَّذِينَ فِي قُلُوبِهِم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زَي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غ﴾،</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والمعنى</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الناس،</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في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الأخذ</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بالكتاب،</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ق</w:t>
      </w:r>
      <w:r w:rsidRPr="00206D8A">
        <w:rPr>
          <w:rFonts w:ascii="Adobe Arabic" w:hAnsi="Adobe Arabic" w:cs="Adobe Arabic"/>
          <w:sz w:val="24"/>
          <w:szCs w:val="24"/>
          <w:rtl/>
        </w:rPr>
        <w:t>سمان: فمنهم من يتّبع ما تشابه منه، ومنهم من يقول إذا تشابه عليه شيء منه: ﴿ءَامَنَّا بِهِ</w:t>
      </w:r>
      <w:r w:rsidRPr="00206D8A">
        <w:rPr>
          <w:rFonts w:ascii="Sakkal Majalla" w:hAnsi="Sakkal Majalla" w:cs="Sakkal Majalla" w:hint="cs"/>
          <w:sz w:val="24"/>
          <w:szCs w:val="24"/>
          <w:rtl/>
        </w:rPr>
        <w:t>ۦ</w:t>
      </w:r>
      <w:r w:rsidRPr="00206D8A">
        <w:rPr>
          <w:rFonts w:ascii="Adobe Arabic" w:hAnsi="Adobe Arabic" w:cs="Adobe Arabic"/>
          <w:sz w:val="24"/>
          <w:szCs w:val="24"/>
          <w:rtl/>
        </w:rPr>
        <w:t xml:space="preserve"> كُلّ مِّن</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عِندِ﴾،</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وإنّما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اختلفا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لاختلافهم</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ج</w:t>
      </w:r>
      <w:r w:rsidRPr="00206D8A">
        <w:rPr>
          <w:rFonts w:ascii="Adobe Arabic" w:hAnsi="Adobe Arabic" w:cs="Adobe Arabic"/>
          <w:sz w:val="24"/>
          <w:szCs w:val="24"/>
          <w:rtl/>
        </w:rPr>
        <w:t>هة زيغ القلب ورسوخ العلم (لاحظ: العلامة الطباطبائي، الميزان في تفسير القرآن، مصدر سابق، ج3، ص27-28). والثاني أنّها للعطف، بمعنى أن ﴿وَٱلرَّٰسِخُونَ فِي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عِل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w:t>
      </w:r>
      <w:r w:rsidRPr="00206D8A">
        <w:rPr>
          <w:rFonts w:ascii="Adobe Arabic" w:hAnsi="Adobe Arabic" w:cs="Adobe Arabic"/>
          <w:sz w:val="24"/>
          <w:szCs w:val="24"/>
          <w:rtl/>
        </w:rPr>
        <w:t>﴾ يشاركون الله تعالى في العلم بالتأويل، ذلك أنّه لا معنى لتخصيص الإيمان بالمحكم والمتشابه بـ ﴿وَٱلرَّٰسِخُونَ فِي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عِل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w:t>
      </w:r>
      <w:r w:rsidRPr="00206D8A">
        <w:rPr>
          <w:rFonts w:ascii="Adobe Arabic" w:hAnsi="Adobe Arabic" w:cs="Adobe Arabic"/>
          <w:sz w:val="24"/>
          <w:szCs w:val="24"/>
          <w:rtl/>
        </w:rPr>
        <w:t>﴾؛ لأنّه وصفٌ يشترك به المؤمنين جميعًا</w:t>
      </w:r>
      <w:r w:rsidRPr="00206D8A">
        <w:rPr>
          <w:rFonts w:ascii="Adobe Arabic" w:hAnsi="Adobe Arabic" w:cs="Adobe Arabic"/>
          <w:sz w:val="24"/>
          <w:szCs w:val="24"/>
        </w:rPr>
        <w:t>.</w:t>
      </w:r>
    </w:p>
  </w:footnote>
  <w:footnote w:id="19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7</w:t>
      </w:r>
      <w:r w:rsidRPr="00206D8A">
        <w:rPr>
          <w:rFonts w:ascii="Adobe Arabic" w:hAnsi="Adobe Arabic" w:cs="Adobe Arabic"/>
          <w:sz w:val="24"/>
          <w:szCs w:val="24"/>
        </w:rPr>
        <w:t>.</w:t>
      </w:r>
    </w:p>
  </w:footnote>
  <w:footnote w:id="19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وإذا ضممنا هذه الآية وما يشاكلها، كآيات ﴿فِي كِتَٰب مَّك</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نُون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٧٨</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يَمَسُّهُ</w:t>
      </w:r>
      <w:r w:rsidRPr="00206D8A">
        <w:rPr>
          <w:rFonts w:ascii="Sakkal Majalla" w:hAnsi="Sakkal Majalla" w:cs="Sakkal Majalla" w:hint="cs"/>
          <w:sz w:val="24"/>
          <w:szCs w:val="24"/>
          <w:rtl/>
        </w:rPr>
        <w:t>ۥ</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مُطَهَّرُونَ</w:t>
      </w:r>
      <w:r w:rsidRPr="00206D8A">
        <w:rPr>
          <w:rFonts w:ascii="Adobe Arabic" w:hAnsi="Adobe Arabic" w:cs="Adobe Arabic"/>
          <w:sz w:val="24"/>
          <w:szCs w:val="24"/>
          <w:rtl/>
        </w:rPr>
        <w:t>﴾، إلى آيات أُخر، كقوله تعالى: ﴿وَنَزَّل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نَا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عَلَي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كَ</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كِتَٰب</w:t>
      </w:r>
      <w:r w:rsidRPr="00206D8A">
        <w:rPr>
          <w:rFonts w:ascii="Adobe Arabic" w:hAnsi="Adobe Arabic" w:cs="Adobe Arabic"/>
          <w:sz w:val="24"/>
          <w:szCs w:val="24"/>
          <w:rtl/>
        </w:rPr>
        <w:t>َ تِب</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يَٰنا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لِّكُلِّ</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شَي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ء</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وَهُدى</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وَرَح</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مَة</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وَبُش</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رَىٰ</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لِل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مُس</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لِمِينَ﴾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يظهر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لنا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مقدار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يعلم</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w:t>
      </w:r>
      <w:r w:rsidRPr="00206D8A">
        <w:rPr>
          <w:rFonts w:ascii="Adobe Arabic" w:hAnsi="Adobe Arabic" w:cs="Adobe Arabic"/>
          <w:sz w:val="24"/>
          <w:szCs w:val="24"/>
          <w:rtl/>
        </w:rPr>
        <w:t>الكتاب في مراتبه كافّة</w:t>
      </w:r>
      <w:r w:rsidRPr="00206D8A">
        <w:rPr>
          <w:rFonts w:ascii="Adobe Arabic" w:hAnsi="Adobe Arabic" w:cs="Adobe Arabic"/>
          <w:sz w:val="24"/>
          <w:szCs w:val="24"/>
        </w:rPr>
        <w:t>.</w:t>
      </w:r>
    </w:p>
  </w:footnote>
  <w:footnote w:id="19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الرعد، الآية 43</w:t>
      </w:r>
      <w:r w:rsidRPr="00206D8A">
        <w:rPr>
          <w:rFonts w:ascii="Adobe Arabic" w:hAnsi="Adobe Arabic" w:cs="Adobe Arabic"/>
          <w:sz w:val="24"/>
          <w:szCs w:val="24"/>
        </w:rPr>
        <w:t>.</w:t>
      </w:r>
    </w:p>
  </w:footnote>
  <w:footnote w:id="19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 أنّ أوّل من ذكر هذا التقسيم هو الشافعيّ (انظر: الشافعيّ، محمّد بن إدريس المطّلبيّ، الرسالة، تحقيق: أحمد محمّد شاكر، مطبعة مصطى البابي الحلبيّ وأولاده، مصر، 1357ه‍- 1938م، ط1، ص91-92</w:t>
      </w:r>
      <w:r w:rsidRPr="00206D8A">
        <w:rPr>
          <w:rFonts w:ascii="Adobe Arabic" w:hAnsi="Adobe Arabic" w:cs="Adobe Arabic"/>
          <w:sz w:val="24"/>
          <w:szCs w:val="24"/>
        </w:rPr>
        <w:t>.</w:t>
      </w:r>
    </w:p>
  </w:footnote>
  <w:footnote w:id="19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44</w:t>
      </w:r>
      <w:r w:rsidRPr="00206D8A">
        <w:rPr>
          <w:rFonts w:ascii="Adobe Arabic" w:hAnsi="Adobe Arabic" w:cs="Adobe Arabic"/>
          <w:sz w:val="24"/>
          <w:szCs w:val="24"/>
        </w:rPr>
        <w:t>.</w:t>
      </w:r>
    </w:p>
  </w:footnote>
  <w:footnote w:id="19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الأصول العامّة للفقه المقارن، مصدر سابق، ص258؛ الشاطبيّ، الموافقات في أصول الشريعة، مصدر سابق، ج4، ص7-8</w:t>
      </w:r>
      <w:r w:rsidRPr="00206D8A">
        <w:rPr>
          <w:rFonts w:ascii="Adobe Arabic" w:hAnsi="Adobe Arabic" w:cs="Adobe Arabic"/>
          <w:sz w:val="24"/>
          <w:szCs w:val="24"/>
        </w:rPr>
        <w:t>.</w:t>
      </w:r>
    </w:p>
  </w:footnote>
  <w:footnote w:id="19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محمّد تقي، السنّة في الشريعة الإسلاميّة، منشورات قسم الإعلام الخارجيّ في مؤسَّسة البعثة، إيران – طهران، ط1، 1402ه‍، ص135</w:t>
      </w:r>
      <w:r w:rsidRPr="00206D8A">
        <w:rPr>
          <w:rFonts w:ascii="Adobe Arabic" w:hAnsi="Adobe Arabic" w:cs="Adobe Arabic"/>
          <w:sz w:val="24"/>
          <w:szCs w:val="24"/>
        </w:rPr>
        <w:t>.</w:t>
      </w:r>
    </w:p>
  </w:footnote>
  <w:footnote w:id="19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44</w:t>
      </w:r>
      <w:r w:rsidRPr="00206D8A">
        <w:rPr>
          <w:rFonts w:ascii="Adobe Arabic" w:hAnsi="Adobe Arabic" w:cs="Adobe Arabic"/>
          <w:sz w:val="24"/>
          <w:szCs w:val="24"/>
        </w:rPr>
        <w:t>.</w:t>
      </w:r>
    </w:p>
  </w:footnote>
  <w:footnote w:id="19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الحشر، الآية 7</w:t>
      </w:r>
      <w:r w:rsidRPr="00206D8A">
        <w:rPr>
          <w:rFonts w:ascii="Adobe Arabic" w:hAnsi="Adobe Arabic" w:cs="Adobe Arabic"/>
          <w:sz w:val="24"/>
          <w:szCs w:val="24"/>
        </w:rPr>
        <w:t>.</w:t>
      </w:r>
    </w:p>
  </w:footnote>
  <w:footnote w:id="20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قال في عون المعبود: "وهذا الحديث أورده الجوزقانيّ في الموضوعات، وقال: هذا حديث باطل رواه جماعة عن شعبة. وقد تصفّحتُ هذا الحديث في المسانيد الكبار والصغار، وسألتُ من لقيته من أهل العلم بالنقل عنه، فلم أجد له طريقًا غير هذا، والحارث بن عمرو -ابن أخي المغيرة بن شعبة- هذا مجهول، وأصحاب معاذ من أهل حمص لا يُعرَفون، ومثل هذا الإسناد لا يُعتَمد عليه في أصل من الشريعة</w:t>
      </w:r>
      <w:r w:rsidRPr="00206D8A">
        <w:rPr>
          <w:rFonts w:ascii="Adobe Arabic" w:hAnsi="Adobe Arabic" w:cs="Adobe Arabic"/>
          <w:sz w:val="24"/>
          <w:szCs w:val="24"/>
        </w:rPr>
        <w:t>.</w:t>
      </w:r>
    </w:p>
    <w:p w:rsidR="00091C88" w:rsidRPr="00206D8A" w:rsidRDefault="00091C88" w:rsidP="00206D8A">
      <w:pPr>
        <w:pStyle w:val="FootnoteText"/>
        <w:bidi/>
        <w:jc w:val="both"/>
        <w:rPr>
          <w:rFonts w:ascii="Adobe Arabic" w:hAnsi="Adobe Arabic" w:cs="Adobe Arabic"/>
          <w:sz w:val="24"/>
          <w:szCs w:val="24"/>
        </w:rPr>
      </w:pPr>
      <w:r w:rsidRPr="00206D8A">
        <w:rPr>
          <w:rFonts w:ascii="Adobe Arabic" w:hAnsi="Adobe Arabic" w:cs="Adobe Arabic"/>
          <w:sz w:val="24"/>
          <w:szCs w:val="24"/>
          <w:rtl/>
        </w:rPr>
        <w:t>فإن قيل: إنّ الفقهاء قاطبة أوردوه في كتبهم واعتمدوا عليه</w:t>
      </w:r>
      <w:r w:rsidRPr="00206D8A">
        <w:rPr>
          <w:rFonts w:ascii="Adobe Arabic" w:hAnsi="Adobe Arabic" w:cs="Adobe Arabic"/>
          <w:sz w:val="24"/>
          <w:szCs w:val="24"/>
        </w:rPr>
        <w:t>.</w:t>
      </w:r>
    </w:p>
    <w:p w:rsidR="00091C88" w:rsidRPr="00206D8A" w:rsidRDefault="00091C88" w:rsidP="00206D8A">
      <w:pPr>
        <w:pStyle w:val="FootnoteText"/>
        <w:bidi/>
        <w:jc w:val="both"/>
        <w:rPr>
          <w:rFonts w:ascii="Adobe Arabic" w:hAnsi="Adobe Arabic" w:cs="Adobe Arabic"/>
          <w:sz w:val="24"/>
          <w:szCs w:val="24"/>
          <w:rtl/>
          <w:lang w:bidi="ar-LB"/>
        </w:rPr>
      </w:pPr>
      <w:r w:rsidRPr="00206D8A">
        <w:rPr>
          <w:rFonts w:ascii="Adobe Arabic" w:hAnsi="Adobe Arabic" w:cs="Adobe Arabic"/>
          <w:sz w:val="24"/>
          <w:szCs w:val="24"/>
          <w:rtl/>
        </w:rPr>
        <w:t>قيل: هذا طريقه، والخلف قلّد فيه السلف، فإن أظهروا طريقًا غير هذا ممّا يثبت عند أهل النقل رجعنا إلى قولهم، وهذا ممّا لا يمكنهم البتّة". (العظيم آبادي، محمّد شمس الحقّ، عون المعبود على شرح سنن أبي داوود، دار الفكر، 1415هـ- 1995م، ج9، ص403)</w:t>
      </w:r>
      <w:r w:rsidRPr="00206D8A">
        <w:rPr>
          <w:rFonts w:ascii="Adobe Arabic" w:hAnsi="Adobe Arabic" w:cs="Adobe Arabic"/>
          <w:sz w:val="24"/>
          <w:szCs w:val="24"/>
        </w:rPr>
        <w:t>.</w:t>
      </w:r>
    </w:p>
  </w:footnote>
  <w:footnote w:id="20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الأصول العامّة للفقه المقارن، مصدر سابق، ص249-250</w:t>
      </w:r>
      <w:r w:rsidRPr="00206D8A">
        <w:rPr>
          <w:rFonts w:ascii="Adobe Arabic" w:hAnsi="Adobe Arabic" w:cs="Adobe Arabic"/>
          <w:sz w:val="24"/>
          <w:szCs w:val="24"/>
        </w:rPr>
        <w:t>.</w:t>
      </w:r>
    </w:p>
  </w:footnote>
  <w:footnote w:id="20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44</w:t>
      </w:r>
      <w:r w:rsidRPr="00206D8A">
        <w:rPr>
          <w:rFonts w:ascii="Adobe Arabic" w:hAnsi="Adobe Arabic" w:cs="Adobe Arabic"/>
          <w:sz w:val="24"/>
          <w:szCs w:val="24"/>
        </w:rPr>
        <w:t>.</w:t>
      </w:r>
    </w:p>
  </w:footnote>
  <w:footnote w:id="20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لا شكّ في إمكان معرفة معاني الألفاظ ومعرفة مرادات الله تعالى في بعض آيات الكتاب</w:t>
      </w:r>
      <w:r w:rsidRPr="00206D8A">
        <w:rPr>
          <w:rFonts w:ascii="Adobe Arabic" w:hAnsi="Adobe Arabic" w:cs="Adobe Arabic"/>
          <w:sz w:val="24"/>
          <w:szCs w:val="24"/>
        </w:rPr>
        <w:t>.</w:t>
      </w:r>
    </w:p>
  </w:footnote>
  <w:footnote w:id="20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النائينيّ، محمّد حسين الغرويّ، فوائد الأصول، تفرير الشيخ محمّد عليّ الكاظميّ الخراسانيّ مع تعليقات آقا ضياء الدين العراقيّ، مؤسَّسة النشر الإسلاميّ التابعة لجماعة المدرّسين، لا.ت، لا.ط، ج3، ص137</w:t>
      </w:r>
      <w:r w:rsidRPr="00206D8A">
        <w:rPr>
          <w:rFonts w:ascii="Adobe Arabic" w:hAnsi="Adobe Arabic" w:cs="Adobe Arabic"/>
          <w:sz w:val="24"/>
          <w:szCs w:val="24"/>
        </w:rPr>
        <w:t>.</w:t>
      </w:r>
    </w:p>
  </w:footnote>
  <w:footnote w:id="20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82</w:t>
      </w:r>
      <w:r w:rsidRPr="00206D8A">
        <w:rPr>
          <w:rFonts w:ascii="Adobe Arabic" w:hAnsi="Adobe Arabic" w:cs="Adobe Arabic"/>
          <w:sz w:val="24"/>
          <w:szCs w:val="24"/>
        </w:rPr>
        <w:t>.</w:t>
      </w:r>
    </w:p>
  </w:footnote>
  <w:footnote w:id="20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الحشر، الآية 7</w:t>
      </w:r>
      <w:r w:rsidRPr="00206D8A">
        <w:rPr>
          <w:rFonts w:ascii="Adobe Arabic" w:hAnsi="Adobe Arabic" w:cs="Adobe Arabic"/>
          <w:sz w:val="24"/>
          <w:szCs w:val="24"/>
        </w:rPr>
        <w:t>.</w:t>
      </w:r>
    </w:p>
  </w:footnote>
  <w:footnote w:id="20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أنظر: العلامة الطباطبائيّ، الميزان في تفسير القرآن، مصدر سابق، ج3، ص84-87. ولاحِظ أيضًا: حاشية الكفاية، نسخة إلكترونيّة، ج1، ص163-164</w:t>
      </w:r>
      <w:r w:rsidRPr="00206D8A">
        <w:rPr>
          <w:rFonts w:ascii="Adobe Arabic" w:hAnsi="Adobe Arabic" w:cs="Adobe Arabic"/>
          <w:sz w:val="24"/>
          <w:szCs w:val="24"/>
        </w:rPr>
        <w:t>.</w:t>
      </w:r>
    </w:p>
  </w:footnote>
  <w:footnote w:id="20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العلامة الطباطبائيّ، الميزان في تفسير القرآن، مصدر سابق، ج3، ص89</w:t>
      </w:r>
      <w:r w:rsidRPr="00206D8A">
        <w:rPr>
          <w:rFonts w:ascii="Adobe Arabic" w:hAnsi="Adobe Arabic" w:cs="Adobe Arabic"/>
          <w:sz w:val="24"/>
          <w:szCs w:val="24"/>
        </w:rPr>
        <w:t>.</w:t>
      </w:r>
    </w:p>
  </w:footnote>
  <w:footnote w:id="20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الأنصاري، فرائد الأصول، مصدر سابق، ج1، ص553</w:t>
      </w:r>
      <w:r w:rsidRPr="00206D8A">
        <w:rPr>
          <w:rFonts w:ascii="Adobe Arabic" w:hAnsi="Adobe Arabic" w:cs="Adobe Arabic"/>
          <w:sz w:val="24"/>
          <w:szCs w:val="24"/>
        </w:rPr>
        <w:t>.</w:t>
      </w:r>
    </w:p>
  </w:footnote>
  <w:footnote w:id="21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المصدر نفسه، ج3، 556؛ والخوئيّ، أبو القاسم، البيان في تفسير القرآن مصدر سابق، ص265</w:t>
      </w:r>
      <w:r w:rsidRPr="00206D8A">
        <w:rPr>
          <w:rFonts w:ascii="Adobe Arabic" w:hAnsi="Adobe Arabic" w:cs="Adobe Arabic"/>
          <w:sz w:val="24"/>
          <w:szCs w:val="24"/>
        </w:rPr>
        <w:t>.</w:t>
      </w:r>
    </w:p>
  </w:footnote>
  <w:footnote w:id="21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الصدر، محمّد باقر، دروس في علم الأصول الحلقة الثالثة، مصدر سابق، ص567-569</w:t>
      </w:r>
      <w:r w:rsidRPr="00206D8A">
        <w:rPr>
          <w:rFonts w:ascii="Adobe Arabic" w:hAnsi="Adobe Arabic" w:cs="Adobe Arabic"/>
          <w:sz w:val="24"/>
          <w:szCs w:val="24"/>
        </w:rPr>
        <w:t>.</w:t>
      </w:r>
    </w:p>
  </w:footnote>
  <w:footnote w:id="21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الكلينيّ، الكافي، مصدر سابق، ج1، ص69،</w:t>
      </w:r>
    </w:p>
  </w:footnote>
  <w:footnote w:id="21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ج1، ص69، ح3-4-5</w:t>
      </w:r>
      <w:r w:rsidRPr="00206D8A">
        <w:rPr>
          <w:rFonts w:ascii="Adobe Arabic" w:hAnsi="Adobe Arabic" w:cs="Adobe Arabic"/>
          <w:sz w:val="24"/>
          <w:szCs w:val="24"/>
        </w:rPr>
        <w:t>.</w:t>
      </w:r>
    </w:p>
  </w:footnote>
  <w:footnote w:id="21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ج1، ص69، ح2</w:t>
      </w:r>
      <w:r w:rsidRPr="00206D8A">
        <w:rPr>
          <w:rFonts w:ascii="Adobe Arabic" w:hAnsi="Adobe Arabic" w:cs="Adobe Arabic"/>
          <w:sz w:val="24"/>
          <w:szCs w:val="24"/>
        </w:rPr>
        <w:t>.</w:t>
      </w:r>
    </w:p>
  </w:footnote>
  <w:footnote w:id="21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ص69، ح1</w:t>
      </w:r>
      <w:r w:rsidRPr="00206D8A">
        <w:rPr>
          <w:rFonts w:ascii="Adobe Arabic" w:hAnsi="Adobe Arabic" w:cs="Adobe Arabic"/>
          <w:sz w:val="24"/>
          <w:szCs w:val="24"/>
        </w:rPr>
        <w:t>.</w:t>
      </w:r>
    </w:p>
  </w:footnote>
  <w:footnote w:id="21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الحائريّ، مباحث الأصول، مصدر سابق، الجزء الثاني من القسم الثاني، ص363-365</w:t>
      </w:r>
      <w:r w:rsidRPr="00206D8A">
        <w:rPr>
          <w:rFonts w:ascii="Adobe Arabic" w:hAnsi="Adobe Arabic" w:cs="Adobe Arabic"/>
          <w:sz w:val="24"/>
          <w:szCs w:val="24"/>
        </w:rPr>
        <w:t>.</w:t>
      </w:r>
    </w:p>
  </w:footnote>
  <w:footnote w:id="21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90</w:t>
      </w:r>
      <w:r w:rsidRPr="00206D8A">
        <w:rPr>
          <w:rFonts w:ascii="Adobe Arabic" w:hAnsi="Adobe Arabic" w:cs="Adobe Arabic"/>
          <w:sz w:val="24"/>
          <w:szCs w:val="24"/>
        </w:rPr>
        <w:t>.</w:t>
      </w:r>
    </w:p>
  </w:footnote>
  <w:footnote w:id="21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58</w:t>
      </w:r>
      <w:r w:rsidRPr="00206D8A">
        <w:rPr>
          <w:rFonts w:ascii="Adobe Arabic" w:hAnsi="Adobe Arabic" w:cs="Adobe Arabic"/>
          <w:sz w:val="24"/>
          <w:szCs w:val="24"/>
        </w:rPr>
        <w:t>.</w:t>
      </w:r>
    </w:p>
  </w:footnote>
  <w:footnote w:id="21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الحجّ، الآية 78</w:t>
      </w:r>
      <w:r w:rsidRPr="00206D8A">
        <w:rPr>
          <w:rFonts w:ascii="Adobe Arabic" w:hAnsi="Adobe Arabic" w:cs="Adobe Arabic"/>
          <w:sz w:val="24"/>
          <w:szCs w:val="24"/>
        </w:rPr>
        <w:t>.</w:t>
      </w:r>
    </w:p>
  </w:footnote>
  <w:footnote w:id="22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البقرة، الآية 185</w:t>
      </w:r>
      <w:r w:rsidRPr="00206D8A">
        <w:rPr>
          <w:rFonts w:ascii="Adobe Arabic" w:hAnsi="Adobe Arabic" w:cs="Adobe Arabic"/>
          <w:sz w:val="24"/>
          <w:szCs w:val="24"/>
        </w:rPr>
        <w:t>.</w:t>
      </w:r>
    </w:p>
  </w:footnote>
  <w:footnote w:id="22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الربّانيّ، محمّد عليّ، حجّيّة خبر الواحد - تقريرًا لأبحاث السيّد عليّ الحسينيّ السيستانيّ، ص23-25</w:t>
      </w:r>
      <w:r w:rsidRPr="00206D8A">
        <w:rPr>
          <w:rFonts w:ascii="Adobe Arabic" w:hAnsi="Adobe Arabic" w:cs="Adobe Arabic"/>
          <w:sz w:val="24"/>
          <w:szCs w:val="24"/>
        </w:rPr>
        <w:t>.</w:t>
      </w:r>
    </w:p>
  </w:footnote>
  <w:footnote w:id="22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الحرّ العامّليّ، محمّد بن الحسن بن عليّ، وسائل الشيعة، تحقيق ونشر: مؤسَّسة آل البيت (عليهم السلام) لإحياء التراث، قمّ المشرّفة، ط2، 1414ه‍.ق، ج27، باب وجوه الجمع بين الأحاديث المختلفة وكيفيّة العمل بها، ح29، ص118</w:t>
      </w:r>
      <w:r w:rsidRPr="00206D8A">
        <w:rPr>
          <w:rFonts w:ascii="Adobe Arabic" w:hAnsi="Adobe Arabic" w:cs="Adobe Arabic"/>
          <w:sz w:val="24"/>
          <w:szCs w:val="24"/>
        </w:rPr>
        <w:t>.</w:t>
      </w:r>
    </w:p>
  </w:footnote>
  <w:footnote w:id="22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لمزيد من التفصيل، انظر: الصدر، محمّد باقر، دروس في علم الأصول - الحلقة الثانية، مصدر سابق، ص451-453</w:t>
      </w:r>
      <w:r w:rsidRPr="00206D8A">
        <w:rPr>
          <w:rFonts w:ascii="Adobe Arabic" w:hAnsi="Adobe Arabic" w:cs="Adobe Arabic"/>
          <w:sz w:val="24"/>
          <w:szCs w:val="24"/>
        </w:rPr>
        <w:t>.</w:t>
      </w:r>
    </w:p>
  </w:footnote>
  <w:footnote w:id="22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الإمام الخميني، السيد روح الله الموسوي، الرسائل، مع تذييلات لمجتبى الطهراني، مؤسسة اسماعيليان- للطباعة والنشر والتوزيع، 1385، لا.ط، ج2، ص79</w:t>
      </w:r>
      <w:r w:rsidRPr="00206D8A">
        <w:rPr>
          <w:rFonts w:ascii="Adobe Arabic" w:hAnsi="Adobe Arabic" w:cs="Adobe Arabic"/>
          <w:sz w:val="24"/>
          <w:szCs w:val="24"/>
        </w:rPr>
        <w:t>.</w:t>
      </w:r>
    </w:p>
  </w:footnote>
  <w:footnote w:id="22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محمّد تقي، الأصول العامّة للفقه المقارن، مصدر سابق، ص242</w:t>
      </w:r>
      <w:r w:rsidRPr="00206D8A">
        <w:rPr>
          <w:rFonts w:ascii="Adobe Arabic" w:hAnsi="Adobe Arabic" w:cs="Adobe Arabic"/>
          <w:sz w:val="24"/>
          <w:szCs w:val="24"/>
        </w:rPr>
        <w:t>.</w:t>
      </w:r>
    </w:p>
  </w:footnote>
  <w:footnote w:id="22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24</w:t>
      </w:r>
      <w:r w:rsidRPr="00206D8A">
        <w:rPr>
          <w:rFonts w:ascii="Adobe Arabic" w:hAnsi="Adobe Arabic" w:cs="Adobe Arabic"/>
          <w:sz w:val="24"/>
          <w:szCs w:val="24"/>
        </w:rPr>
        <w:t>.</w:t>
      </w:r>
    </w:p>
  </w:footnote>
  <w:footnote w:id="22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الشيخ الكلينيّ، الكافي ، مصدر سابق، ج5، ص445</w:t>
      </w:r>
      <w:r w:rsidRPr="00206D8A">
        <w:rPr>
          <w:rFonts w:ascii="Adobe Arabic" w:hAnsi="Adobe Arabic" w:cs="Adobe Arabic"/>
          <w:sz w:val="24"/>
          <w:szCs w:val="24"/>
        </w:rPr>
        <w:t>.</w:t>
      </w:r>
    </w:p>
  </w:footnote>
  <w:footnote w:id="22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الأقرب أنّها قوله تعالى: ﴿وَأُوْلُواْ   بَع</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ضُهُم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بِب</w:t>
      </w:r>
      <w:r w:rsidRPr="00206D8A">
        <w:rPr>
          <w:rFonts w:ascii="Adobe Arabic" w:hAnsi="Adobe Arabic" w:cs="Adobe Arabic"/>
          <w:sz w:val="24"/>
          <w:szCs w:val="24"/>
          <w:rtl/>
        </w:rPr>
        <w:t>َع</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ض</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كِتَٰبِ</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إِنَّ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بِكُلِّ</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شَي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ءٍ</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عَلِيمُ</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الأنفال</w:t>
      </w:r>
      <w:r w:rsidRPr="00206D8A">
        <w:rPr>
          <w:rFonts w:ascii="Adobe Arabic" w:hAnsi="Adobe Arabic" w:cs="Adobe Arabic"/>
          <w:sz w:val="24"/>
          <w:szCs w:val="24"/>
          <w:rtl/>
        </w:rPr>
        <w:t xml:space="preserve"> 75). </w:t>
      </w:r>
      <w:r w:rsidRPr="00206D8A">
        <w:rPr>
          <w:rFonts w:ascii="Adobe Arabic" w:hAnsi="Adobe Arabic" w:cs="Adobe Arabic" w:hint="cs"/>
          <w:sz w:val="24"/>
          <w:szCs w:val="24"/>
          <w:rtl/>
        </w:rPr>
        <w:t>الطوسيّ،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أبو</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جعفر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محمّد</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بن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الحسن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الطوسيّ،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تهذيب</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الأحكام،</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حقّقه</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وعلّق</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عليه</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السيّد</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حسن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الموسويّ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الخرسان،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دار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الكتب</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الإسلاميّة،</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طهران،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ط</w:t>
      </w:r>
      <w:r w:rsidRPr="00206D8A">
        <w:rPr>
          <w:rFonts w:ascii="Adobe Arabic" w:hAnsi="Adobe Arabic" w:cs="Adobe Arabic"/>
          <w:sz w:val="24"/>
          <w:szCs w:val="24"/>
          <w:rtl/>
        </w:rPr>
        <w:t>4</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1365</w:t>
      </w:r>
      <w:r w:rsidRPr="00206D8A">
        <w:rPr>
          <w:rFonts w:ascii="Adobe Arabic" w:hAnsi="Adobe Arabic" w:cs="Adobe Arabic" w:hint="cs"/>
          <w:sz w:val="24"/>
          <w:szCs w:val="24"/>
          <w:rtl/>
        </w:rPr>
        <w:t>ه‍</w:t>
      </w:r>
      <w:r w:rsidRPr="00206D8A">
        <w:rPr>
          <w:rFonts w:ascii="Adobe Arabic" w:hAnsi="Adobe Arabic" w:cs="Adobe Arabic"/>
          <w:sz w:val="24"/>
          <w:szCs w:val="24"/>
          <w:rtl/>
        </w:rPr>
        <w:t>.</w:t>
      </w:r>
      <w:r w:rsidRPr="00206D8A">
        <w:rPr>
          <w:rFonts w:ascii="Adobe Arabic" w:hAnsi="Adobe Arabic" w:cs="Adobe Arabic" w:hint="cs"/>
          <w:sz w:val="24"/>
          <w:szCs w:val="24"/>
          <w:rtl/>
        </w:rPr>
        <w:t>ش،</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ج</w:t>
      </w:r>
      <w:r w:rsidRPr="00206D8A">
        <w:rPr>
          <w:rFonts w:ascii="Adobe Arabic" w:hAnsi="Adobe Arabic" w:cs="Adobe Arabic"/>
          <w:sz w:val="24"/>
          <w:szCs w:val="24"/>
          <w:rtl/>
        </w:rPr>
        <w:t>9</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ص</w:t>
      </w:r>
      <w:r w:rsidRPr="00206D8A">
        <w:rPr>
          <w:rFonts w:ascii="Adobe Arabic" w:hAnsi="Adobe Arabic" w:cs="Adobe Arabic"/>
          <w:sz w:val="24"/>
          <w:szCs w:val="24"/>
          <w:rtl/>
        </w:rPr>
        <w:t>372</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ح</w:t>
      </w:r>
      <w:r w:rsidRPr="00206D8A">
        <w:rPr>
          <w:rFonts w:ascii="Adobe Arabic" w:hAnsi="Adobe Arabic" w:cs="Adobe Arabic"/>
          <w:sz w:val="24"/>
          <w:szCs w:val="24"/>
          <w:rtl/>
        </w:rPr>
        <w:t>1329</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وانظر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الحلّيّ،</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جمال</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الدين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w:t>
      </w:r>
      <w:r w:rsidRPr="00206D8A">
        <w:rPr>
          <w:rFonts w:ascii="Adobe Arabic" w:hAnsi="Adobe Arabic" w:cs="Adobe Arabic"/>
          <w:sz w:val="24"/>
          <w:szCs w:val="24"/>
          <w:rtl/>
        </w:rPr>
        <w:t>لحسن بن يوسف بن عليّ بن محمّد بن مُطهّر، تهذيب الوصول إلى علم الأصول، مؤسَّسة الإمام عليّ</w:t>
      </w:r>
      <w:r w:rsidRPr="00206D8A">
        <w:rPr>
          <w:rFonts w:ascii="Adobe Arabic" w:hAnsi="Adobe Arabic" w:cs="Adobe Arabic"/>
          <w:sz w:val="24"/>
          <w:szCs w:val="24"/>
        </w:rPr>
        <w:t xml:space="preserve"> (</w:t>
      </w:r>
      <w:r w:rsidRPr="00206D8A">
        <w:rPr>
          <w:rFonts w:ascii="Adobe Arabic" w:hAnsi="Adobe Arabic" w:cs="Adobe Arabic"/>
          <w:sz w:val="24"/>
          <w:szCs w:val="24"/>
          <w:rtl/>
        </w:rPr>
        <w:t>عليه السلام)، لا.ت، لا.ط، ج1، ص148</w:t>
      </w:r>
      <w:r w:rsidRPr="00206D8A">
        <w:rPr>
          <w:rFonts w:ascii="Adobe Arabic" w:hAnsi="Adobe Arabic" w:cs="Adobe Arabic"/>
          <w:sz w:val="24"/>
          <w:szCs w:val="24"/>
        </w:rPr>
        <w:t>.</w:t>
      </w:r>
    </w:p>
  </w:footnote>
  <w:footnote w:id="22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الخوئيّ، أبو القاسم، البيان في تفسير القرآن، مصدر سابق، ص399-401</w:t>
      </w:r>
      <w:r w:rsidRPr="00206D8A">
        <w:rPr>
          <w:rFonts w:ascii="Adobe Arabic" w:hAnsi="Adobe Arabic" w:cs="Adobe Arabic"/>
          <w:sz w:val="24"/>
          <w:szCs w:val="24"/>
        </w:rPr>
        <w:t>.</w:t>
      </w:r>
    </w:p>
  </w:footnote>
  <w:footnote w:id="23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يقول الشيخ المظفّر: "إنّ الموضوع في القضيّة الحمليّة الموجبة يجب أن يفرض موجودًا قبل فرض ثبوت المحمول له، إذ لولا أن يكون موجودًا، لَمَا أمكن أن يثبت له شيء، كما يقولون في المثال: "العرش ثمّ النقش". فلا يمكن أن يكون "سعيد" في مثل "سعيد قائم" غير موجود، ومع ذلك يثبت له القيام، ولكن وجود موضوعها :تارةً يكون في الذهن فقط، فتُسمَّى "ذهنيّة"، مثل: كلّ اجتماع النقيضَين مغاير لاجتماع المثلَين. فإنّ مفهوم "اجتماع النقيضَين" غير موجود في الخارج، ولكنّ الحكم ثابتٌ له في الذهن</w:t>
      </w:r>
      <w:r w:rsidRPr="00206D8A">
        <w:rPr>
          <w:rFonts w:ascii="Adobe Arabic" w:hAnsi="Adobe Arabic" w:cs="Adobe Arabic"/>
          <w:sz w:val="24"/>
          <w:szCs w:val="24"/>
        </w:rPr>
        <w:t xml:space="preserve"> .</w:t>
      </w:r>
    </w:p>
    <w:p w:rsidR="00091C88" w:rsidRPr="00206D8A" w:rsidRDefault="00091C88" w:rsidP="00206D8A">
      <w:pPr>
        <w:pStyle w:val="FootnoteText"/>
        <w:bidi/>
        <w:jc w:val="both"/>
        <w:rPr>
          <w:rFonts w:ascii="Adobe Arabic" w:hAnsi="Adobe Arabic" w:cs="Adobe Arabic"/>
          <w:sz w:val="24"/>
          <w:szCs w:val="24"/>
        </w:rPr>
      </w:pPr>
      <w:r w:rsidRPr="00206D8A">
        <w:rPr>
          <w:rFonts w:ascii="Adobe Arabic" w:hAnsi="Adobe Arabic" w:cs="Adobe Arabic"/>
          <w:sz w:val="24"/>
          <w:szCs w:val="24"/>
          <w:rtl/>
        </w:rPr>
        <w:t>وأخرى يكون وجود موضوعها في الخارج على وجهٍ يُلاحَظ في القضيّة خصوصُ الأفراد الموجودة المحقّقة منه في أحد الأزمنة الثلاثة (الماضي والحاضر والمستقبل)، نحو: كلّ جنديّ في المعسكر مدرَّب على حمل السلاح. وتُسَمَّى القضيّة هذه: "خارجيّة</w:t>
      </w:r>
      <w:r w:rsidRPr="00206D8A">
        <w:rPr>
          <w:rFonts w:ascii="Adobe Arabic" w:hAnsi="Adobe Arabic" w:cs="Adobe Arabic"/>
          <w:sz w:val="24"/>
          <w:szCs w:val="24"/>
        </w:rPr>
        <w:t>".</w:t>
      </w:r>
    </w:p>
    <w:p w:rsidR="00091C88" w:rsidRPr="00206D8A" w:rsidRDefault="00091C88" w:rsidP="00206D8A">
      <w:pPr>
        <w:pStyle w:val="FootnoteText"/>
        <w:bidi/>
        <w:jc w:val="both"/>
        <w:rPr>
          <w:rFonts w:ascii="Adobe Arabic" w:hAnsi="Adobe Arabic" w:cs="Adobe Arabic"/>
          <w:sz w:val="24"/>
          <w:szCs w:val="24"/>
        </w:rPr>
      </w:pPr>
      <w:r w:rsidRPr="00206D8A">
        <w:rPr>
          <w:rFonts w:ascii="Adobe Arabic" w:hAnsi="Adobe Arabic" w:cs="Adobe Arabic"/>
          <w:sz w:val="24"/>
          <w:szCs w:val="24"/>
          <w:rtl/>
        </w:rPr>
        <w:t>وثالثة يكون وجوده في نفس الأمر والواقع، بمعنى: أنّ الحكم على الأفراد المحقّقة الوجود والمقدّرة الوجود معًا. فكلّ ما يفرض وجوده، وإن لم يوجد أصلًا، فهو داخل في الموضوع ويشمله الحكم، نحو: كلّ مثلّث مجموع زواياه يساوي قائمتَين. فإنّه كلّ ما يُفرَض للموضوع من أفراد- سواء كانت موجودة بالفعل، أو معدومة ولكنّها مقدّرة الوجود- تدخل فيه، ويكون لها حكمه عند وجودها. وتُسَمَّى القضيّة هذه: "حقيقيّة". (المظفر، الشيخ محمد رضا، المنطق، مؤسسة النشر الإسلامي التابعة لجماعة المدرسين بقم المشرفة، إيران- قم، لا.ت، لا.ط، بتصرّف، ص166-167)</w:t>
      </w:r>
      <w:r w:rsidRPr="00206D8A">
        <w:rPr>
          <w:rFonts w:ascii="Adobe Arabic" w:hAnsi="Adobe Arabic" w:cs="Adobe Arabic"/>
          <w:sz w:val="24"/>
          <w:szCs w:val="24"/>
        </w:rPr>
        <w:t>.</w:t>
      </w:r>
    </w:p>
  </w:footnote>
  <w:footnote w:id="23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في قوله تعالى: ﴿مَا نَنسَخ</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مِن</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ءَايَةٍ</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أَو</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نُنسِهَا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نَأ</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تِ</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مِّن</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هَآ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أَو</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مِث</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لِهَآ</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أَلَم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تَع</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لَم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قَدِيرٌ﴾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البقرة</w:t>
      </w:r>
      <w:r w:rsidRPr="00206D8A">
        <w:rPr>
          <w:rFonts w:ascii="Adobe Arabic" w:hAnsi="Adobe Arabic" w:cs="Adobe Arabic"/>
          <w:sz w:val="24"/>
          <w:szCs w:val="24"/>
          <w:rtl/>
        </w:rPr>
        <w:t xml:space="preserve"> 106)</w:t>
      </w:r>
    </w:p>
  </w:footnote>
  <w:footnote w:id="23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الحكيم، مصدر سابق، ص132؛ والخوئيّ، أبو القاسم، مصدر سابق، ص277-278</w:t>
      </w:r>
      <w:r w:rsidRPr="00206D8A">
        <w:rPr>
          <w:rFonts w:ascii="Adobe Arabic" w:hAnsi="Adobe Arabic" w:cs="Adobe Arabic"/>
          <w:sz w:val="24"/>
          <w:szCs w:val="24"/>
        </w:rPr>
        <w:t>.</w:t>
      </w:r>
    </w:p>
  </w:footnote>
  <w:footnote w:id="23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تقرير بحث السيد الخوئي للفياض، محاضرات في أصول الفقه، مؤسسة النشر الإسلامي التابعة لجماعة المدرسين بقم المشرفة، إيران- قم، 1419، ط1، ج5، ص314</w:t>
      </w:r>
      <w:r w:rsidRPr="00206D8A">
        <w:rPr>
          <w:rFonts w:ascii="Adobe Arabic" w:hAnsi="Adobe Arabic" w:cs="Adobe Arabic"/>
          <w:sz w:val="24"/>
          <w:szCs w:val="24"/>
        </w:rPr>
        <w:t>.</w:t>
      </w:r>
    </w:p>
  </w:footnote>
  <w:footnote w:id="23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السبحانيّ، جعفر، الموجز في أصول الفقه، مؤسَّسة الإمام الصادق (عليه السلام)، قمّ، ط4، 1429ه‍.ق، ص162-170؛ والسبحانيّ، جعفر، الوسيط في أُصول الفقه، مؤسَّسة الإمام الصادق (علیه السلام)، قمّ، ط4، 1388ه‍.ش، ص53-55</w:t>
      </w:r>
      <w:r w:rsidRPr="00206D8A">
        <w:rPr>
          <w:rFonts w:ascii="Adobe Arabic" w:hAnsi="Adobe Arabic" w:cs="Adobe Arabic"/>
          <w:sz w:val="24"/>
          <w:szCs w:val="24"/>
        </w:rPr>
        <w:t>.</w:t>
      </w:r>
    </w:p>
  </w:footnote>
  <w:footnote w:id="23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الزركشيّ، أبو عبد الله بدر الدين محمّد بن عبد الله بن بهادر، البرهان في علوم القرآن، المحقّق: محمّد أبو الفضل إبراهيم، دار إحياء الكتب العربيّة، ط1، 1376هـ- 1957م، ج2، ص156</w:t>
      </w:r>
      <w:r w:rsidRPr="00206D8A">
        <w:rPr>
          <w:rFonts w:ascii="Adobe Arabic" w:hAnsi="Adobe Arabic" w:cs="Adobe Arabic"/>
          <w:sz w:val="24"/>
          <w:szCs w:val="24"/>
        </w:rPr>
        <w:t>.</w:t>
      </w:r>
    </w:p>
  </w:footnote>
  <w:footnote w:id="236">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الخوئيّ، أبو القاسم، البيان في تفسير القرآن، مصدر سابق، ص398-399</w:t>
      </w:r>
      <w:r w:rsidRPr="00206D8A">
        <w:rPr>
          <w:rFonts w:ascii="Adobe Arabic" w:hAnsi="Adobe Arabic" w:cs="Adobe Arabic"/>
          <w:sz w:val="24"/>
          <w:szCs w:val="24"/>
        </w:rPr>
        <w:t>.</w:t>
      </w:r>
    </w:p>
  </w:footnote>
  <w:footnote w:id="237">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الطوسيّ، أبو جعفر محمّد بن الحسن، التبيان في تفسير القرآن، دار إحياء التراث العربيّ، بيروت، لا.ت، لا.ط، ج1، ص6-7</w:t>
      </w:r>
      <w:r w:rsidRPr="00206D8A">
        <w:rPr>
          <w:rFonts w:ascii="Adobe Arabic" w:hAnsi="Adobe Arabic" w:cs="Adobe Arabic"/>
          <w:sz w:val="24"/>
          <w:szCs w:val="24"/>
        </w:rPr>
        <w:t>.</w:t>
      </w:r>
    </w:p>
  </w:footnote>
  <w:footnote w:id="238">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يقصد المخالف للكتاب</w:t>
      </w:r>
      <w:r w:rsidRPr="00206D8A">
        <w:rPr>
          <w:rFonts w:ascii="Adobe Arabic" w:hAnsi="Adobe Arabic" w:cs="Adobe Arabic"/>
          <w:sz w:val="24"/>
          <w:szCs w:val="24"/>
        </w:rPr>
        <w:t>.</w:t>
      </w:r>
    </w:p>
  </w:footnote>
  <w:footnote w:id="23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يقصد غير المخالف للكتاب</w:t>
      </w:r>
      <w:r w:rsidRPr="00206D8A">
        <w:rPr>
          <w:rFonts w:ascii="Adobe Arabic" w:hAnsi="Adobe Arabic" w:cs="Adobe Arabic"/>
          <w:sz w:val="24"/>
          <w:szCs w:val="24"/>
        </w:rPr>
        <w:t>.</w:t>
      </w:r>
    </w:p>
  </w:footnote>
  <w:footnote w:id="24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ج12، ص261</w:t>
      </w:r>
      <w:r w:rsidRPr="00206D8A">
        <w:rPr>
          <w:rFonts w:ascii="Adobe Arabic" w:hAnsi="Adobe Arabic" w:cs="Adobe Arabic"/>
          <w:sz w:val="24"/>
          <w:szCs w:val="24"/>
        </w:rPr>
        <w:t>.</w:t>
      </w:r>
    </w:p>
  </w:footnote>
  <w:footnote w:id="24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الرضائيّ، محمّد عليّ، مناهج التفسير واتجاهاته، تعريب قاسم البيضاني، جامعة المصطفى العالميّة - مكتب التخطيط وتقنيّة التعليم، قمّ المقدَّسة، ط2، 1431ه‍.ق- 1389ه‍.ش، ص87-91</w:t>
      </w:r>
      <w:r w:rsidRPr="00206D8A">
        <w:rPr>
          <w:rFonts w:ascii="Adobe Arabic" w:hAnsi="Adobe Arabic" w:cs="Adobe Arabic"/>
          <w:sz w:val="24"/>
          <w:szCs w:val="24"/>
        </w:rPr>
        <w:t>.</w:t>
      </w:r>
    </w:p>
  </w:footnote>
  <w:footnote w:id="24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ق، الآية 10</w:t>
      </w:r>
      <w:r w:rsidRPr="00206D8A">
        <w:rPr>
          <w:rFonts w:ascii="Adobe Arabic" w:hAnsi="Adobe Arabic" w:cs="Adobe Arabic"/>
          <w:sz w:val="24"/>
          <w:szCs w:val="24"/>
        </w:rPr>
        <w:t>.</w:t>
      </w:r>
    </w:p>
  </w:footnote>
  <w:footnote w:id="24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النيسابوريّ، الحاكم، أبو عبد الله محمّد بن عبد الله، المستدرك على الصحيحَين، دراسة وتحقيق: مصطفى عبد القادر عطا، دار الكتب العلميّة، بيروت - لبنان، لا.ت، لا.ط، ج2، ص504، ح3727</w:t>
      </w:r>
      <w:r w:rsidRPr="00206D8A">
        <w:rPr>
          <w:rFonts w:ascii="Adobe Arabic" w:hAnsi="Adobe Arabic" w:cs="Adobe Arabic"/>
          <w:sz w:val="24"/>
          <w:szCs w:val="24"/>
        </w:rPr>
        <w:t>.</w:t>
      </w:r>
    </w:p>
  </w:footnote>
  <w:footnote w:id="24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السيوطيّ، جلال الدين، الدرّ المنثور في التفسير بالمأثور، دار المعرفة للطباعة والنشر، بيروت - لبنان، لا.ت، لا.ط، ج2، ص313</w:t>
      </w:r>
      <w:r w:rsidRPr="00206D8A">
        <w:rPr>
          <w:rFonts w:ascii="Adobe Arabic" w:hAnsi="Adobe Arabic" w:cs="Adobe Arabic"/>
          <w:sz w:val="24"/>
          <w:szCs w:val="24"/>
        </w:rPr>
        <w:t>.</w:t>
      </w:r>
    </w:p>
  </w:footnote>
  <w:footnote w:id="24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61</w:t>
      </w:r>
      <w:r w:rsidRPr="00206D8A">
        <w:rPr>
          <w:rFonts w:ascii="Adobe Arabic" w:hAnsi="Adobe Arabic" w:cs="Adobe Arabic"/>
          <w:sz w:val="24"/>
          <w:szCs w:val="24"/>
        </w:rPr>
        <w:t>.</w:t>
      </w:r>
    </w:p>
  </w:footnote>
  <w:footnote w:id="246">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المائدة، الآية 55</w:t>
      </w:r>
      <w:r w:rsidRPr="00206D8A">
        <w:rPr>
          <w:rFonts w:ascii="Adobe Arabic" w:hAnsi="Adobe Arabic" w:cs="Adobe Arabic"/>
          <w:sz w:val="24"/>
          <w:szCs w:val="24"/>
        </w:rPr>
        <w:t>.</w:t>
      </w:r>
    </w:p>
  </w:footnote>
  <w:footnote w:id="247">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العيّاشيّ، أبو النظر محمّد بن مسعود بن عيّاش السلميّ السمرقنديّ، تحقيق: السيّد هاشم الرسولي المحلّاتي، المكتبة العلميّة الإسلاميّة، طهران، ج1، ص227</w:t>
      </w:r>
      <w:r w:rsidRPr="00206D8A">
        <w:rPr>
          <w:rFonts w:ascii="Adobe Arabic" w:hAnsi="Adobe Arabic" w:cs="Adobe Arabic"/>
          <w:sz w:val="24"/>
          <w:szCs w:val="24"/>
        </w:rPr>
        <w:t>.</w:t>
      </w:r>
    </w:p>
  </w:footnote>
  <w:footnote w:id="248">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16</w:t>
      </w:r>
      <w:r w:rsidRPr="00206D8A">
        <w:rPr>
          <w:rFonts w:ascii="Adobe Arabic" w:hAnsi="Adobe Arabic" w:cs="Adobe Arabic"/>
          <w:sz w:val="24"/>
          <w:szCs w:val="24"/>
        </w:rPr>
        <w:t>.</w:t>
      </w:r>
    </w:p>
  </w:footnote>
  <w:footnote w:id="24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ابن حجر العسقلانيّ، أحمد بن عليّ، فتح الباري شرح صحيح البخاريّ، راجعه قُصَي محبّ الدين الخطيب، دار الريان للتراث، 1407هـ- 1986م، ج13، ص243، ح6819</w:t>
      </w:r>
      <w:r w:rsidRPr="00206D8A">
        <w:rPr>
          <w:rFonts w:ascii="Adobe Arabic" w:hAnsi="Adobe Arabic" w:cs="Adobe Arabic"/>
          <w:sz w:val="24"/>
          <w:szCs w:val="24"/>
        </w:rPr>
        <w:t>.</w:t>
      </w:r>
    </w:p>
  </w:footnote>
  <w:footnote w:id="25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97</w:t>
      </w:r>
      <w:r w:rsidRPr="00206D8A">
        <w:rPr>
          <w:rFonts w:ascii="Adobe Arabic" w:hAnsi="Adobe Arabic" w:cs="Adobe Arabic"/>
          <w:sz w:val="24"/>
          <w:szCs w:val="24"/>
        </w:rPr>
        <w:t>.</w:t>
      </w:r>
    </w:p>
  </w:footnote>
  <w:footnote w:id="25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قد جُمِعَت هذه الأحاديث في كتب التفسير بالمأثور، كتفسير البرهان ونور الثقلَين والدرّ المنثور، وفي كتب أسباب النزول أيضًا</w:t>
      </w:r>
      <w:r w:rsidRPr="00206D8A">
        <w:rPr>
          <w:rFonts w:ascii="Adobe Arabic" w:hAnsi="Adobe Arabic" w:cs="Adobe Arabic"/>
          <w:sz w:val="24"/>
          <w:szCs w:val="24"/>
        </w:rPr>
        <w:t>.</w:t>
      </w:r>
    </w:p>
  </w:footnote>
  <w:footnote w:id="25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للكلام في معنى التأويل والمراد منه في القرآن الكريم، ذيلٌ طويل لا يسمح المقام بذكره، ويحسن في ذلك مراجعة بحث العلَّامة الطباطبائيّ (قدّس سرّه) في الميزان في ذيل قوله تعالى: ﴿هُوَ ٱلَّذِيٓ أَنزَلَ عَلَي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كَ</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كِتَٰبَ</w:t>
      </w:r>
      <w:r w:rsidRPr="00206D8A">
        <w:rPr>
          <w:rFonts w:ascii="Adobe Arabic" w:hAnsi="Adobe Arabic" w:cs="Adobe Arabic"/>
          <w:sz w:val="24"/>
          <w:szCs w:val="24"/>
          <w:rtl/>
        </w:rPr>
        <w:t xml:space="preserve"> مِن</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هُ</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ءَايَٰت</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مُّح</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كَمَٰتٌ</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هُنَّ</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أُمُّ</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كِتَٰبِ</w:t>
      </w:r>
      <w:r w:rsidRPr="00206D8A">
        <w:rPr>
          <w:rFonts w:ascii="Adobe Arabic" w:hAnsi="Adobe Arabic" w:cs="Adobe Arabic"/>
          <w:sz w:val="24"/>
          <w:szCs w:val="24"/>
          <w:rtl/>
        </w:rPr>
        <w:t xml:space="preserve"> وَأُخَرُ مُتَشَٰبِهَٰت</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فَأَمَّا</w:t>
      </w:r>
      <w:r w:rsidRPr="00206D8A">
        <w:rPr>
          <w:rFonts w:ascii="Adobe Arabic" w:hAnsi="Adobe Arabic" w:cs="Adobe Arabic"/>
          <w:sz w:val="24"/>
          <w:szCs w:val="24"/>
          <w:rtl/>
        </w:rPr>
        <w:t xml:space="preserve"> ٱلَّذِينَ فِي قُلُوبِهِم</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زَي</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غ</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فَيَتَّبِعُونَ</w:t>
      </w:r>
    </w:p>
    <w:p w:rsidR="00091C88" w:rsidRPr="00206D8A" w:rsidRDefault="00091C88" w:rsidP="00206D8A">
      <w:pPr>
        <w:pStyle w:val="FootnoteText"/>
        <w:bidi/>
        <w:jc w:val="both"/>
        <w:rPr>
          <w:rFonts w:ascii="Adobe Arabic" w:hAnsi="Adobe Arabic" w:cs="Adobe Arabic"/>
          <w:sz w:val="24"/>
          <w:szCs w:val="24"/>
        </w:rPr>
      </w:pPr>
      <w:r w:rsidRPr="00206D8A">
        <w:rPr>
          <w:rFonts w:ascii="Adobe Arabic" w:hAnsi="Adobe Arabic" w:cs="Adobe Arabic"/>
          <w:sz w:val="24"/>
          <w:szCs w:val="24"/>
          <w:rtl/>
        </w:rPr>
        <w:t>مَا تَشَٰبَهَ مِن</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هُ</w:t>
      </w:r>
      <w:r w:rsidRPr="00206D8A">
        <w:rPr>
          <w:rFonts w:ascii="Adobe Arabic" w:hAnsi="Adobe Arabic" w:cs="Adobe Arabic"/>
          <w:sz w:val="24"/>
          <w:szCs w:val="24"/>
          <w:rtl/>
        </w:rPr>
        <w:t xml:space="preserve"> ٱب</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تِغَآءَ</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فِت</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نَةِ</w:t>
      </w:r>
      <w:r w:rsidRPr="00206D8A">
        <w:rPr>
          <w:rFonts w:ascii="Adobe Arabic" w:hAnsi="Adobe Arabic" w:cs="Adobe Arabic"/>
          <w:sz w:val="24"/>
          <w:szCs w:val="24"/>
          <w:rtl/>
        </w:rPr>
        <w:t xml:space="preserve"> وَٱب</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تِغَآءَ</w:t>
      </w:r>
      <w:r w:rsidRPr="00206D8A">
        <w:rPr>
          <w:rFonts w:ascii="Adobe Arabic" w:hAnsi="Adobe Arabic" w:cs="Adobe Arabic"/>
          <w:sz w:val="24"/>
          <w:szCs w:val="24"/>
          <w:rtl/>
        </w:rPr>
        <w:t xml:space="preserve"> تَأ</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وِيلِهِ</w:t>
      </w:r>
      <w:r w:rsidRPr="00206D8A">
        <w:rPr>
          <w:rFonts w:ascii="Sakkal Majalla" w:hAnsi="Sakkal Majalla" w:cs="Sakkal Majalla" w:hint="cs"/>
          <w:sz w:val="24"/>
          <w:szCs w:val="24"/>
          <w:rtl/>
        </w:rPr>
        <w:t>ۦۖ</w:t>
      </w:r>
      <w:r w:rsidRPr="00206D8A">
        <w:rPr>
          <w:rFonts w:ascii="Adobe Arabic" w:hAnsi="Adobe Arabic" w:cs="Adobe Arabic"/>
          <w:sz w:val="24"/>
          <w:szCs w:val="24"/>
          <w:rtl/>
        </w:rPr>
        <w:t xml:space="preserve"> وَمَا يَع</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لَمُ</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تَأ</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وِيلَهُ</w:t>
      </w:r>
      <w:r w:rsidRPr="00206D8A">
        <w:rPr>
          <w:rFonts w:ascii="Sakkal Majalla" w:hAnsi="Sakkal Majalla" w:cs="Sakkal Majalla" w:hint="cs"/>
          <w:sz w:val="24"/>
          <w:szCs w:val="24"/>
          <w:rtl/>
        </w:rPr>
        <w:t>ۥ</w:t>
      </w:r>
      <w:r w:rsidRPr="00206D8A">
        <w:rPr>
          <w:rFonts w:ascii="Adobe Arabic" w:hAnsi="Adobe Arabic" w:cs="Adobe Arabic" w:hint="cs"/>
          <w:sz w:val="24"/>
          <w:szCs w:val="24"/>
          <w:rtl/>
        </w:rPr>
        <w:t>ٓ</w:t>
      </w:r>
      <w:r w:rsidRPr="00206D8A">
        <w:rPr>
          <w:rFonts w:ascii="Adobe Arabic" w:hAnsi="Adobe Arabic" w:cs="Adobe Arabic"/>
          <w:sz w:val="24"/>
          <w:szCs w:val="24"/>
          <w:rtl/>
        </w:rPr>
        <w:t xml:space="preserve"> إِلَّا ٱللَّهُ</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وَٱلرَّٰسِخُونَ فِي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عِل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w:t>
      </w:r>
      <w:r w:rsidRPr="00206D8A">
        <w:rPr>
          <w:rFonts w:ascii="Adobe Arabic" w:hAnsi="Adobe Arabic" w:cs="Adobe Arabic"/>
          <w:sz w:val="24"/>
          <w:szCs w:val="24"/>
          <w:rtl/>
        </w:rPr>
        <w:t xml:space="preserve"> يَقُولُونَ ءَامَنَّا بِهِ</w:t>
      </w:r>
      <w:r w:rsidRPr="00206D8A">
        <w:rPr>
          <w:rFonts w:ascii="Sakkal Majalla" w:hAnsi="Sakkal Majalla" w:cs="Sakkal Majalla" w:hint="cs"/>
          <w:sz w:val="24"/>
          <w:szCs w:val="24"/>
          <w:rtl/>
        </w:rPr>
        <w:t>ۦ</w:t>
      </w:r>
      <w:r w:rsidRPr="00206D8A">
        <w:rPr>
          <w:rFonts w:ascii="Adobe Arabic" w:hAnsi="Adobe Arabic" w:cs="Adobe Arabic"/>
          <w:sz w:val="24"/>
          <w:szCs w:val="24"/>
          <w:rtl/>
        </w:rPr>
        <w:t xml:space="preserve"> كُلّ مِّن</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عِندِ</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رَبِّنَا</w:t>
      </w:r>
      <w:r w:rsidRPr="00206D8A">
        <w:rPr>
          <w:rFonts w:ascii="Sakkal Majalla" w:hAnsi="Sakkal Majalla" w:cs="Sakkal Majalla" w:hint="cs"/>
          <w:sz w:val="24"/>
          <w:szCs w:val="24"/>
          <w:rtl/>
        </w:rPr>
        <w:t>ۗ</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وَمَا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يَذَّكَّرُ</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إِلَّآ</w:t>
      </w:r>
      <w:r w:rsidRPr="00206D8A">
        <w:rPr>
          <w:rFonts w:ascii="Adobe Arabic" w:hAnsi="Adobe Arabic" w:cs="Adobe Arabic"/>
          <w:sz w:val="24"/>
          <w:szCs w:val="24"/>
          <w:rtl/>
        </w:rPr>
        <w:t xml:space="preserve"> </w:t>
      </w:r>
      <w:r w:rsidRPr="00206D8A">
        <w:rPr>
          <w:rFonts w:ascii="Adobe Arabic" w:hAnsi="Adobe Arabic" w:cs="Adobe Arabic" w:hint="cs"/>
          <w:sz w:val="24"/>
          <w:szCs w:val="24"/>
          <w:rtl/>
        </w:rPr>
        <w:t>أُوْلُواْ</w:t>
      </w:r>
      <w:r w:rsidRPr="00206D8A">
        <w:rPr>
          <w:rFonts w:ascii="Adobe Arabic" w:hAnsi="Adobe Arabic" w:cs="Adobe Arabic"/>
          <w:sz w:val="24"/>
          <w:szCs w:val="24"/>
          <w:rtl/>
        </w:rPr>
        <w:t xml:space="preserve">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أَل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بَٰبِ</w:t>
      </w:r>
      <w:r w:rsidRPr="00206D8A">
        <w:rPr>
          <w:rFonts w:ascii="Adobe Arabic" w:hAnsi="Adobe Arabic" w:cs="Adobe Arabic"/>
          <w:sz w:val="24"/>
          <w:szCs w:val="24"/>
          <w:rtl/>
        </w:rPr>
        <w:t>﴾ (آل عمران 7). (انظر: العلامة الطباطبائيّ، الميزان في تفسير القرآن، مصدر سابق، ج3، ص51-57). وبحث آية الله معرفة في كتابة التفسير والمفسِّرون (انظر: معرفة، محمّد هادي، التفسير والمفسِّرون في ثوبه القشيب، تنقيح قاسم النوريّ، الجامعة الرضويّة للعلوم الإسلاميّة، ط2، 1425ه‍.ق- 1383ه‍.ش، ج1، ص22-44</w:t>
      </w:r>
      <w:r w:rsidRPr="00206D8A">
        <w:rPr>
          <w:rFonts w:ascii="Adobe Arabic" w:hAnsi="Adobe Arabic" w:cs="Adobe Arabic"/>
          <w:sz w:val="24"/>
          <w:szCs w:val="24"/>
        </w:rPr>
        <w:t>.</w:t>
      </w:r>
    </w:p>
  </w:footnote>
  <w:footnote w:id="25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ومن أصحاب هذا الاتجاه: أبو حيّان الأندلسيّ، فقد عرّف التفسير بقوله: «هو علم يبحث عن كيفيّة النطق بألفاظ القرآن ومدلولاتها، وأحكامها الإفراديّة والتركيبيّة، ومعانيها التي تحمل عليها حالة التركيب، وتتمّات ذلك» (أبو حيّان الأندلسيّ، تفسير البحر المحيط، الشيخ عادل أحمد عبد الموجود - الشيخ عليّ محمّد معوّض، شارك في التحقيق: د. زكريّا عبد المجيد النوقيّ - د. أحمد النجوليّ الجمل، دار الكتب العلميّة، 1422هـ- 2001م، ط1، ج1، ص121)</w:t>
      </w:r>
      <w:r w:rsidRPr="00206D8A">
        <w:rPr>
          <w:rFonts w:ascii="Adobe Arabic" w:hAnsi="Adobe Arabic" w:cs="Adobe Arabic"/>
          <w:sz w:val="24"/>
          <w:szCs w:val="24"/>
        </w:rPr>
        <w:t>.</w:t>
      </w:r>
    </w:p>
  </w:footnote>
  <w:footnote w:id="25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ومن التعاريف التي اعتُمِدَت في هذا الاتجاه، قولهم: إنّ التفسير علم يُبحَث فيه عن القرآن الكريم من حيث دلالته على مراد الله تعالى، بقدر الطاقة البشريّة (الزُّرْقانيّ، محمّد عبد العظيم، مناهل العرفان في علوم القرآن، مطبعة عيسى البابي الحلبيّ وشركاه، ط3، لا.ت، لا.ط، ج2، ص3)</w:t>
      </w:r>
      <w:r w:rsidRPr="00206D8A">
        <w:rPr>
          <w:rFonts w:ascii="Adobe Arabic" w:hAnsi="Adobe Arabic" w:cs="Adobe Arabic"/>
          <w:sz w:val="24"/>
          <w:szCs w:val="24"/>
        </w:rPr>
        <w:t>.</w:t>
      </w:r>
    </w:p>
  </w:footnote>
  <w:footnote w:id="25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محمّد هادي معرفة، التفسير والمفسِّرون في ثوبه القشيب، مصدر سابق، ج1، ص26</w:t>
      </w:r>
      <w:r w:rsidRPr="00206D8A">
        <w:rPr>
          <w:rFonts w:ascii="Adobe Arabic" w:hAnsi="Adobe Arabic" w:cs="Adobe Arabic"/>
          <w:sz w:val="24"/>
          <w:szCs w:val="24"/>
        </w:rPr>
        <w:t>.</w:t>
      </w:r>
    </w:p>
  </w:footnote>
  <w:footnote w:id="256">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المائدة، الآية 32</w:t>
      </w:r>
      <w:r w:rsidRPr="00206D8A">
        <w:rPr>
          <w:rFonts w:ascii="Adobe Arabic" w:hAnsi="Adobe Arabic" w:cs="Adobe Arabic"/>
          <w:sz w:val="24"/>
          <w:szCs w:val="24"/>
        </w:rPr>
        <w:t>.</w:t>
      </w:r>
    </w:p>
  </w:footnote>
  <w:footnote w:id="257">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المازندرانيّ، محمّد صالح، شرح أصول الكافي مع تعاليق الميرزا أبو الحسن الشعرانيّ، ضبط وتصحيح: السيّد عليّ عاشور، دار إحياء التراث العربيّ، بيروت - لبنان، ط1، 1421هـ- 2000م، ج9، ص105، ح2</w:t>
      </w:r>
      <w:r w:rsidRPr="00206D8A">
        <w:rPr>
          <w:rFonts w:ascii="Adobe Arabic" w:hAnsi="Adobe Arabic" w:cs="Adobe Arabic"/>
          <w:sz w:val="24"/>
          <w:szCs w:val="24"/>
        </w:rPr>
        <w:t>.</w:t>
      </w:r>
    </w:p>
  </w:footnote>
  <w:footnote w:id="258">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الشيخ الكلينيّ، الكافي، مصدر سابق، ج3، ص211، ح3</w:t>
      </w:r>
      <w:r w:rsidRPr="00206D8A">
        <w:rPr>
          <w:rFonts w:ascii="Adobe Arabic" w:hAnsi="Adobe Arabic" w:cs="Adobe Arabic"/>
          <w:sz w:val="24"/>
          <w:szCs w:val="24"/>
        </w:rPr>
        <w:t>.</w:t>
      </w:r>
    </w:p>
  </w:footnote>
  <w:footnote w:id="25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الأعراف، الآية 53</w:t>
      </w:r>
      <w:r w:rsidRPr="00206D8A">
        <w:rPr>
          <w:rFonts w:ascii="Adobe Arabic" w:hAnsi="Adobe Arabic" w:cs="Adobe Arabic"/>
          <w:sz w:val="24"/>
          <w:szCs w:val="24"/>
        </w:rPr>
        <w:t>.</w:t>
      </w:r>
    </w:p>
  </w:footnote>
  <w:footnote w:id="26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الملك، الآية 30</w:t>
      </w:r>
      <w:r w:rsidRPr="00206D8A">
        <w:rPr>
          <w:rFonts w:ascii="Adobe Arabic" w:hAnsi="Adobe Arabic" w:cs="Adobe Arabic"/>
          <w:sz w:val="24"/>
          <w:szCs w:val="24"/>
        </w:rPr>
        <w:t>.</w:t>
      </w:r>
    </w:p>
  </w:footnote>
  <w:footnote w:id="26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الصدوق، أبو جعفر محمّد بن عليّ بن الحسين بن بابويه القمّي، كمال الدين وتمام النعمة، صحّحه وعلّق عليه: عليّ أكبر الغفاريّ، مؤسَّسة النشر الإسلاميّ التابعة لجماعة المدرّسين بقمّ المشرّفة، 1405ه‍.ق- 1363ه‍.ش، ج1، ص354-355، ح3</w:t>
      </w:r>
      <w:r w:rsidRPr="00206D8A">
        <w:rPr>
          <w:rFonts w:ascii="Adobe Arabic" w:hAnsi="Adobe Arabic" w:cs="Adobe Arabic"/>
          <w:sz w:val="24"/>
          <w:szCs w:val="24"/>
        </w:rPr>
        <w:t>.</w:t>
      </w:r>
    </w:p>
  </w:footnote>
  <w:footnote w:id="26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هذا البحث ممّا يمكن ويستحقّ التوسّع فيه، ولكنّنا اقتصرنا على عرض بعض الأفكار الأساسيّة، وأردنا من ذلك تسليط الضوء بنحو مختصر على منهج العلَّامة الطباطبائيّ في التعامل مع الروايات الواردة في مجال التفسير. مع الإشارة إلى أنّ ما عرضناه خاضعٌ للتأمّل والنقاش. (الإعداد)</w:t>
      </w:r>
    </w:p>
  </w:footnote>
  <w:footnote w:id="26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للوقوف أكثر على هذا المنهج، وتعرُّف أدلّة الموافقين والمعارضين، وكذلك أنواعه واختلاف الآراء حوله بين العلَّامة الطباطبائيّ والآخرين، يمكن الرجوع إلى كتاب رضائي، محمد علي، مناهج التفسير واتّجاهاته، مصدر سابق، ص47-91</w:t>
      </w:r>
      <w:r w:rsidRPr="00206D8A">
        <w:rPr>
          <w:rFonts w:ascii="Adobe Arabic" w:hAnsi="Adobe Arabic" w:cs="Adobe Arabic"/>
          <w:sz w:val="24"/>
          <w:szCs w:val="24"/>
        </w:rPr>
        <w:t>.</w:t>
      </w:r>
    </w:p>
  </w:footnote>
  <w:footnote w:id="26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النحل، الآية 89</w:t>
      </w:r>
      <w:r w:rsidRPr="00206D8A">
        <w:rPr>
          <w:rFonts w:ascii="Adobe Arabic" w:hAnsi="Adobe Arabic" w:cs="Adobe Arabic"/>
          <w:sz w:val="24"/>
          <w:szCs w:val="24"/>
        </w:rPr>
        <w:t>.</w:t>
      </w:r>
    </w:p>
  </w:footnote>
  <w:footnote w:id="26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البقرة، الآية 185</w:t>
      </w:r>
      <w:r w:rsidRPr="00206D8A">
        <w:rPr>
          <w:rFonts w:ascii="Adobe Arabic" w:hAnsi="Adobe Arabic" w:cs="Adobe Arabic"/>
          <w:sz w:val="24"/>
          <w:szCs w:val="24"/>
        </w:rPr>
        <w:t>.</w:t>
      </w:r>
    </w:p>
  </w:footnote>
  <w:footnote w:id="266">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174</w:t>
      </w:r>
      <w:r w:rsidRPr="00206D8A">
        <w:rPr>
          <w:rFonts w:ascii="Adobe Arabic" w:hAnsi="Adobe Arabic" w:cs="Adobe Arabic"/>
          <w:sz w:val="24"/>
          <w:szCs w:val="24"/>
        </w:rPr>
        <w:t>.</w:t>
      </w:r>
    </w:p>
  </w:footnote>
  <w:footnote w:id="267">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العنكبوت، الآية 69</w:t>
      </w:r>
      <w:r w:rsidRPr="00206D8A">
        <w:rPr>
          <w:rFonts w:ascii="Adobe Arabic" w:hAnsi="Adobe Arabic" w:cs="Adobe Arabic"/>
          <w:sz w:val="24"/>
          <w:szCs w:val="24"/>
        </w:rPr>
        <w:t>.</w:t>
      </w:r>
    </w:p>
  </w:footnote>
  <w:footnote w:id="268">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 ص14</w:t>
      </w:r>
      <w:r w:rsidRPr="00206D8A">
        <w:rPr>
          <w:rFonts w:ascii="Adobe Arabic" w:hAnsi="Adobe Arabic" w:cs="Adobe Arabic"/>
          <w:sz w:val="24"/>
          <w:szCs w:val="24"/>
        </w:rPr>
        <w:t>.</w:t>
      </w:r>
    </w:p>
  </w:footnote>
  <w:footnote w:id="26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آل عمران، الآية 7</w:t>
      </w:r>
      <w:r w:rsidRPr="00206D8A">
        <w:rPr>
          <w:rFonts w:ascii="Adobe Arabic" w:hAnsi="Adobe Arabic" w:cs="Adobe Arabic"/>
          <w:sz w:val="24"/>
          <w:szCs w:val="24"/>
        </w:rPr>
        <w:t>.</w:t>
      </w:r>
    </w:p>
  </w:footnote>
  <w:footnote w:id="27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ج3، ص89</w:t>
      </w:r>
      <w:r w:rsidRPr="00206D8A">
        <w:rPr>
          <w:rFonts w:ascii="Adobe Arabic" w:hAnsi="Adobe Arabic" w:cs="Adobe Arabic"/>
          <w:sz w:val="24"/>
          <w:szCs w:val="24"/>
        </w:rPr>
        <w:t>.</w:t>
      </w:r>
    </w:p>
  </w:footnote>
  <w:footnote w:id="27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 ص15</w:t>
      </w:r>
      <w:r w:rsidRPr="00206D8A">
        <w:rPr>
          <w:rFonts w:ascii="Adobe Arabic" w:hAnsi="Adobe Arabic" w:cs="Adobe Arabic"/>
          <w:sz w:val="24"/>
          <w:szCs w:val="24"/>
        </w:rPr>
        <w:t>.</w:t>
      </w:r>
    </w:p>
  </w:footnote>
  <w:footnote w:id="27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السابق، ج3، ص100</w:t>
      </w:r>
      <w:r w:rsidRPr="00206D8A">
        <w:rPr>
          <w:rFonts w:ascii="Adobe Arabic" w:hAnsi="Adobe Arabic" w:cs="Adobe Arabic"/>
          <w:sz w:val="24"/>
          <w:szCs w:val="24"/>
        </w:rPr>
        <w:t>.</w:t>
      </w:r>
    </w:p>
  </w:footnote>
  <w:footnote w:id="27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راجع: رضائي، مناهج التفسير واتّجاهاته، مصدر سابق، ص95-101</w:t>
      </w:r>
      <w:r w:rsidRPr="00206D8A">
        <w:rPr>
          <w:rFonts w:ascii="Adobe Arabic" w:hAnsi="Adobe Arabic" w:cs="Adobe Arabic"/>
          <w:sz w:val="24"/>
          <w:szCs w:val="24"/>
        </w:rPr>
        <w:t>.</w:t>
      </w:r>
    </w:p>
  </w:footnote>
  <w:footnote w:id="27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ج3، ص89. تقدّم نقل نصّ العبارة في بداية الدرس، وقد أَعَدْنا ذكرها هنا لأهمّيّة الوقوف عليها. (الإعداد)</w:t>
      </w:r>
    </w:p>
  </w:footnote>
  <w:footnote w:id="27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رضائي، مناهج التفسير واتّجاهاته، مصدر سابق، ص96</w:t>
      </w:r>
      <w:r w:rsidRPr="00206D8A">
        <w:rPr>
          <w:rFonts w:ascii="Adobe Arabic" w:hAnsi="Adobe Arabic" w:cs="Adobe Arabic"/>
          <w:sz w:val="24"/>
          <w:szCs w:val="24"/>
        </w:rPr>
        <w:t>.</w:t>
      </w:r>
    </w:p>
  </w:footnote>
  <w:footnote w:id="276">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ج12، ص260</w:t>
      </w:r>
      <w:r w:rsidRPr="00206D8A">
        <w:rPr>
          <w:rFonts w:ascii="Adobe Arabic" w:hAnsi="Adobe Arabic" w:cs="Adobe Arabic"/>
          <w:sz w:val="24"/>
          <w:szCs w:val="24"/>
        </w:rPr>
        <w:t>.</w:t>
      </w:r>
    </w:p>
  </w:footnote>
  <w:footnote w:id="277">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الجمعة، الآية 2</w:t>
      </w:r>
      <w:r w:rsidRPr="00206D8A">
        <w:rPr>
          <w:rFonts w:ascii="Adobe Arabic" w:hAnsi="Adobe Arabic" w:cs="Adobe Arabic"/>
          <w:sz w:val="24"/>
          <w:szCs w:val="24"/>
        </w:rPr>
        <w:t>.</w:t>
      </w:r>
    </w:p>
  </w:footnote>
  <w:footnote w:id="278">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ج19، ص276</w:t>
      </w:r>
      <w:r w:rsidRPr="00206D8A">
        <w:rPr>
          <w:rFonts w:ascii="Adobe Arabic" w:hAnsi="Adobe Arabic" w:cs="Adobe Arabic"/>
          <w:sz w:val="24"/>
          <w:szCs w:val="24"/>
        </w:rPr>
        <w:t>.</w:t>
      </w:r>
    </w:p>
  </w:footnote>
  <w:footnote w:id="27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السابق، ج19، ص284</w:t>
      </w:r>
      <w:r w:rsidRPr="00206D8A">
        <w:rPr>
          <w:rFonts w:ascii="Adobe Arabic" w:hAnsi="Adobe Arabic" w:cs="Adobe Arabic"/>
          <w:sz w:val="24"/>
          <w:szCs w:val="24"/>
        </w:rPr>
        <w:t>.</w:t>
      </w:r>
    </w:p>
  </w:footnote>
  <w:footnote w:id="28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رضائي، مناهج التفسير واتّجاهاته، مصدر سابق، ص97-98</w:t>
      </w:r>
      <w:r w:rsidRPr="00206D8A">
        <w:rPr>
          <w:rFonts w:ascii="Adobe Arabic" w:hAnsi="Adobe Arabic" w:cs="Adobe Arabic"/>
          <w:sz w:val="24"/>
          <w:szCs w:val="24"/>
        </w:rPr>
        <w:t>.</w:t>
      </w:r>
    </w:p>
  </w:footnote>
  <w:footnote w:id="28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ج12، ص262</w:t>
      </w:r>
      <w:r w:rsidRPr="00206D8A">
        <w:rPr>
          <w:rFonts w:ascii="Adobe Arabic" w:hAnsi="Adobe Arabic" w:cs="Adobe Arabic"/>
          <w:sz w:val="24"/>
          <w:szCs w:val="24"/>
        </w:rPr>
        <w:t>.</w:t>
      </w:r>
    </w:p>
  </w:footnote>
  <w:footnote w:id="28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w:t>
      </w:r>
      <w:r w:rsidRPr="00206D8A">
        <w:rPr>
          <w:rFonts w:ascii="Adobe Arabic" w:hAnsi="Adobe Arabic" w:cs="Adobe Arabic"/>
          <w:sz w:val="24"/>
          <w:szCs w:val="24"/>
        </w:rPr>
        <w:t>.</w:t>
      </w:r>
    </w:p>
  </w:footnote>
  <w:footnote w:id="28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وإن كان</w:t>
      </w:r>
      <w:r w:rsidRPr="00206D8A">
        <w:rPr>
          <w:rFonts w:ascii="Adobe Arabic" w:hAnsi="Adobe Arabic" w:cs="Adobe Arabic"/>
          <w:sz w:val="24"/>
          <w:szCs w:val="24"/>
        </w:rPr>
        <w:t xml:space="preserve"> e </w:t>
      </w:r>
      <w:r w:rsidRPr="00206D8A">
        <w:rPr>
          <w:rFonts w:ascii="Adobe Arabic" w:hAnsi="Adobe Arabic" w:cs="Adobe Arabic"/>
          <w:sz w:val="24"/>
          <w:szCs w:val="24"/>
          <w:rtl/>
        </w:rPr>
        <w:t>لا يتساهل في ردّ الأخبار التي لم تثبت حجّيّتها، كما ستأتي الإشارة إليه</w:t>
      </w:r>
      <w:r w:rsidRPr="00206D8A">
        <w:rPr>
          <w:rFonts w:ascii="Adobe Arabic" w:hAnsi="Adobe Arabic" w:cs="Adobe Arabic"/>
          <w:sz w:val="24"/>
          <w:szCs w:val="24"/>
        </w:rPr>
        <w:t>.</w:t>
      </w:r>
    </w:p>
  </w:footnote>
  <w:footnote w:id="28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الخوئيّ، السيد أبو القاسم، البيان في تفسير القرآن، مصدر سابق، ص398</w:t>
      </w:r>
      <w:r w:rsidRPr="00206D8A">
        <w:rPr>
          <w:rFonts w:ascii="Adobe Arabic" w:hAnsi="Adobe Arabic" w:cs="Adobe Arabic"/>
          <w:sz w:val="24"/>
          <w:szCs w:val="24"/>
        </w:rPr>
        <w:t>.</w:t>
      </w:r>
    </w:p>
  </w:footnote>
  <w:footnote w:id="28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النساء، الآية 82</w:t>
      </w:r>
      <w:r w:rsidRPr="00206D8A">
        <w:rPr>
          <w:rFonts w:ascii="Adobe Arabic" w:hAnsi="Adobe Arabic" w:cs="Adobe Arabic"/>
          <w:sz w:val="24"/>
          <w:szCs w:val="24"/>
        </w:rPr>
        <w:t>.</w:t>
      </w:r>
    </w:p>
  </w:footnote>
  <w:footnote w:id="286">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ج3، ص97-98. ولكن قد يُقال: إنّ كلامه هذا ناظر للسنّة الواقعيّة دون المحكيّة، إلّا أنّه وبالنظر إلى كلماته المتفرّقة، لا يبعد القول إنّ هذا الكلام منه يعمّ السنّة المحكيّة، ولو لم تكن ممّا يُقطَع بصدوره. قال في كتابه (الشيعة في الإسلام، ص77-78): «وبموجب هذا الحديث والأحاديث النبويّة القطعيّة الأخرى، تصبح أقوال أهل البيت (عليه السلام) تاليةً لأقوال النبيّ الأكرم (صلى الله عليه وآله)، وواجبة الاتباع، وأنّ أهل البيت (عليهم السلام) لهم المرجعيّة العلميّة في الإسلام والأحكام الإسلاميّة، فأقوالهم حجّة يُعتَمَد عليها، سواءً كان مشافهة أو نقلًا</w:t>
      </w:r>
      <w:r w:rsidRPr="00206D8A">
        <w:rPr>
          <w:rFonts w:ascii="Adobe Arabic" w:hAnsi="Adobe Arabic" w:cs="Adobe Arabic"/>
          <w:sz w:val="24"/>
          <w:szCs w:val="24"/>
        </w:rPr>
        <w:t>».</w:t>
      </w:r>
    </w:p>
  </w:footnote>
  <w:footnote w:id="287">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الطباطبائي، العلامة السيد محمد حسين، الشيعة في الإسلام، لا.ن، لا.م، لا.ت، لا.ط، ص79-80</w:t>
      </w:r>
      <w:r w:rsidRPr="00206D8A">
        <w:rPr>
          <w:rFonts w:ascii="Adobe Arabic" w:hAnsi="Adobe Arabic" w:cs="Adobe Arabic"/>
          <w:sz w:val="24"/>
          <w:szCs w:val="24"/>
        </w:rPr>
        <w:t>.</w:t>
      </w:r>
    </w:p>
  </w:footnote>
  <w:footnote w:id="288">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ج14، ص206. ولاحِظ المصدر نفسه، ص133</w:t>
      </w:r>
      <w:r w:rsidRPr="00206D8A">
        <w:rPr>
          <w:rFonts w:ascii="Adobe Arabic" w:hAnsi="Adobe Arabic" w:cs="Adobe Arabic"/>
          <w:sz w:val="24"/>
          <w:szCs w:val="24"/>
        </w:rPr>
        <w:t>.</w:t>
      </w:r>
    </w:p>
  </w:footnote>
  <w:footnote w:id="289">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لاحِظ: رضائي، مناهج التفسير واتّجاهاته، مصدر سابق، ص126. ويدخل في هذا المورد: الروايات المخصّصة للآيات الكريمة والمقيّدة لها، والحاكية عن الناسخ من المنسوخ منها</w:t>
      </w:r>
      <w:r w:rsidRPr="00206D8A">
        <w:rPr>
          <w:rFonts w:ascii="Adobe Arabic" w:hAnsi="Adobe Arabic" w:cs="Adobe Arabic"/>
          <w:sz w:val="24"/>
          <w:szCs w:val="24"/>
        </w:rPr>
        <w:t>..</w:t>
      </w:r>
    </w:p>
  </w:footnote>
  <w:footnote w:id="290">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الفاتحة، الآية 6</w:t>
      </w:r>
      <w:r w:rsidRPr="00206D8A">
        <w:rPr>
          <w:rFonts w:ascii="Adobe Arabic" w:hAnsi="Adobe Arabic" w:cs="Adobe Arabic"/>
          <w:sz w:val="24"/>
          <w:szCs w:val="24"/>
        </w:rPr>
        <w:t>.</w:t>
      </w:r>
    </w:p>
  </w:footnote>
  <w:footnote w:id="291">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 ص43-44. ومن أجل هذا المورد وغيره، ذكر الدكتور الشتيوى في كتابه (منهج الشيعة الاثني عشريّة في تفسير القرآن وعلومه عرض ونقد)، قاصداً العلَّامة الطباطبائيّ: "فقد ادّعى أنّه يفسّر القرآن بالقرآن، وهذه دعوى عارية عن الصحّة تمامًا... ومن الأدلّة على أنّ الطباطبائيّ يفسّر القرآن بهواه ورأيه المذموم الفاسد، ما قاله في تفسير قوله تعالى: ﴿ٱه</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دِنَا</w:t>
      </w:r>
      <w:r w:rsidRPr="00206D8A">
        <w:rPr>
          <w:rFonts w:ascii="Adobe Arabic" w:hAnsi="Adobe Arabic" w:cs="Adobe Arabic"/>
          <w:sz w:val="24"/>
          <w:szCs w:val="24"/>
          <w:rtl/>
        </w:rPr>
        <w:t xml:space="preserve"> ٱلصِّرَٰطَ ٱل</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مُس</w:t>
      </w:r>
      <w:r w:rsidRPr="00206D8A">
        <w:rPr>
          <w:rFonts w:ascii="Sakkal Majalla" w:hAnsi="Sakkal Majalla" w:cs="Sakkal Majalla" w:hint="cs"/>
          <w:sz w:val="24"/>
          <w:szCs w:val="24"/>
          <w:rtl/>
        </w:rPr>
        <w:t>ۡ</w:t>
      </w:r>
      <w:r w:rsidRPr="00206D8A">
        <w:rPr>
          <w:rFonts w:ascii="Adobe Arabic" w:hAnsi="Adobe Arabic" w:cs="Adobe Arabic" w:hint="cs"/>
          <w:sz w:val="24"/>
          <w:szCs w:val="24"/>
          <w:rtl/>
        </w:rPr>
        <w:t>تَقِيمَ</w:t>
      </w:r>
      <w:r w:rsidRPr="00206D8A">
        <w:rPr>
          <w:rFonts w:ascii="Adobe Arabic" w:hAnsi="Adobe Arabic" w:cs="Adobe Arabic"/>
          <w:sz w:val="24"/>
          <w:szCs w:val="24"/>
          <w:rtl/>
        </w:rPr>
        <w:t>﴾ الفاتحة/6"، وبعدها ينقل الرواية عن الإمام الصادق، أنّ الصراط المستقيم هو الإمام عليّ</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ص59-60</w:t>
      </w:r>
      <w:r w:rsidRPr="00206D8A">
        <w:rPr>
          <w:rFonts w:ascii="Adobe Arabic" w:hAnsi="Adobe Arabic" w:cs="Adobe Arabic"/>
          <w:sz w:val="24"/>
          <w:szCs w:val="24"/>
        </w:rPr>
        <w:t>.</w:t>
      </w:r>
    </w:p>
  </w:footnote>
  <w:footnote w:id="292">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للتفصيل أكثر، راجع مقالة «الجري والتطبيق القرآنيّان، قراءة أنموذجيّة روائيّة لتطبيقات القرآن على أهل البيت (عليهم السلام) وأعدائهم»، للدكتور محمّد كاظم شاكر، دراسات قرآنيّة القسم الثاني، كتاب المنهاج 13، مركز الغدير للدراسات والنشر والتوزيع، ط1، 1428هـ- 2007م</w:t>
      </w:r>
      <w:r w:rsidRPr="00206D8A">
        <w:rPr>
          <w:rFonts w:ascii="Adobe Arabic" w:hAnsi="Adobe Arabic" w:cs="Adobe Arabic"/>
          <w:sz w:val="24"/>
          <w:szCs w:val="24"/>
        </w:rPr>
        <w:t>.</w:t>
      </w:r>
    </w:p>
  </w:footnote>
  <w:footnote w:id="293">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المائدة، الآية 55</w:t>
      </w:r>
      <w:r w:rsidRPr="00206D8A">
        <w:rPr>
          <w:rFonts w:ascii="Adobe Arabic" w:hAnsi="Adobe Arabic" w:cs="Adobe Arabic"/>
          <w:sz w:val="24"/>
          <w:szCs w:val="24"/>
        </w:rPr>
        <w:t>.</w:t>
      </w:r>
    </w:p>
  </w:footnote>
  <w:footnote w:id="294">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ج6، ص8</w:t>
      </w:r>
      <w:r w:rsidRPr="00206D8A">
        <w:rPr>
          <w:rFonts w:ascii="Adobe Arabic" w:hAnsi="Adobe Arabic" w:cs="Adobe Arabic"/>
          <w:sz w:val="24"/>
          <w:szCs w:val="24"/>
        </w:rPr>
        <w:t>.</w:t>
      </w:r>
    </w:p>
  </w:footnote>
  <w:footnote w:id="295">
    <w:p w:rsidR="00091C88" w:rsidRPr="00206D8A" w:rsidRDefault="00091C88"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المائدة، الآية 32</w:t>
      </w:r>
      <w:r w:rsidRPr="00206D8A">
        <w:rPr>
          <w:rFonts w:ascii="Adobe Arabic" w:hAnsi="Adobe Arabic" w:cs="Adobe Arabic"/>
          <w:sz w:val="24"/>
          <w:szCs w:val="24"/>
        </w:rPr>
        <w:t>.</w:t>
      </w:r>
    </w:p>
  </w:footnote>
  <w:footnote w:id="29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ج6، ص329-330</w:t>
      </w:r>
      <w:r w:rsidRPr="00206D8A">
        <w:rPr>
          <w:rFonts w:ascii="Adobe Arabic" w:hAnsi="Adobe Arabic" w:cs="Adobe Arabic"/>
          <w:sz w:val="24"/>
          <w:szCs w:val="24"/>
        </w:rPr>
        <w:t>.</w:t>
      </w:r>
    </w:p>
  </w:footnote>
  <w:footnote w:id="29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تجدر الإشارة إلى أنّنا نجده في الكثير من الموارد يستشهد بالعديد من الأخبار المرتبطة بأصول المعارف الإلهيّة، والموافِقة للظهور القرآنيّ، ويتعامل معها لا كمؤيِّد فحسب، بل كحجّة في المراد. ويمكن تفسير ذلك على أساس أنّها عنده إمّا متواترة معنًى، أو محتفّةً بقرائن تفيد القطع بصدورها</w:t>
      </w:r>
      <w:r w:rsidRPr="00206D8A">
        <w:rPr>
          <w:rFonts w:ascii="Adobe Arabic" w:hAnsi="Adobe Arabic" w:cs="Adobe Arabic"/>
          <w:sz w:val="24"/>
          <w:szCs w:val="24"/>
        </w:rPr>
        <w:t>.</w:t>
      </w:r>
    </w:p>
  </w:footnote>
  <w:footnote w:id="29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كما لا يبعد القول به في روايات المعارف، التي بيَّنَت أمورًا لا تُعَدُّ من أصول الدين، وإنّما من فروع تلك الأصول، ولم تكن مخالِفةً لظهورٍ قرآنيّ أو لدليل عقليّ قطعيّ</w:t>
      </w:r>
      <w:r w:rsidRPr="00206D8A">
        <w:rPr>
          <w:rFonts w:ascii="Adobe Arabic" w:hAnsi="Adobe Arabic" w:cs="Adobe Arabic"/>
          <w:sz w:val="24"/>
          <w:szCs w:val="24"/>
        </w:rPr>
        <w:t>.</w:t>
      </w:r>
    </w:p>
  </w:footnote>
  <w:footnote w:id="29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سورة البقرة، الآية 33</w:t>
      </w:r>
      <w:r w:rsidRPr="00206D8A">
        <w:rPr>
          <w:rFonts w:ascii="Adobe Arabic" w:hAnsi="Adobe Arabic" w:cs="Adobe Arabic"/>
          <w:sz w:val="24"/>
          <w:szCs w:val="24"/>
        </w:rPr>
        <w:t>.</w:t>
      </w:r>
    </w:p>
  </w:footnote>
  <w:footnote w:id="30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العلّامة الطباطبائيّ، الميزان في تفسير القرآن، مصدر سابق، ج1، ص132. ويمكن أن يُلاحَظ كذلك موقفه ممّن ينكر روايات الرجعة، فلاحِظ: العلّامة الطباطبائي، الميزان في تفسير القرآن، مصدر سابق، ج2، ص109-110</w:t>
      </w:r>
      <w:r w:rsidRPr="00206D8A">
        <w:rPr>
          <w:rFonts w:ascii="Adobe Arabic" w:hAnsi="Adobe Arabic" w:cs="Adobe Arabic"/>
          <w:sz w:val="24"/>
          <w:szCs w:val="24"/>
        </w:rPr>
        <w:t>.</w:t>
      </w:r>
    </w:p>
  </w:footnote>
  <w:footnote w:id="30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أحمد بن حنبل، مسند أحمد، مصدر سابق، ج3، ص14</w:t>
      </w:r>
      <w:r w:rsidRPr="00206D8A">
        <w:rPr>
          <w:rFonts w:ascii="Adobe Arabic" w:hAnsi="Adobe Arabic" w:cs="Adobe Arabic"/>
          <w:sz w:val="24"/>
          <w:szCs w:val="24"/>
        </w:rPr>
        <w:t>.</w:t>
      </w:r>
    </w:p>
  </w:footnote>
  <w:footnote w:id="30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البغداديّ، محمّد بن حبيب، المنمّق في أخبار قريش، صحّحه وعلّق عليه: خورشيد أحمد فاروق، كتاب آليّ صدر عن المكتبة الشاملة</w:t>
      </w:r>
      <w:r w:rsidRPr="00206D8A">
        <w:rPr>
          <w:rFonts w:ascii="Adobe Arabic" w:hAnsi="Adobe Arabic" w:cs="Adobe Arabic"/>
          <w:sz w:val="24"/>
          <w:szCs w:val="24"/>
        </w:rPr>
        <w:t>.</w:t>
      </w:r>
    </w:p>
  </w:footnote>
  <w:footnote w:id="30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الترمذي، سنن الترمذيّ، مصدر سابق، ح3786، والطبراني، المعجم الكبير، مصدر سابق، ح2615</w:t>
      </w:r>
      <w:r w:rsidRPr="00206D8A">
        <w:rPr>
          <w:rFonts w:ascii="Adobe Arabic" w:hAnsi="Adobe Arabic" w:cs="Adobe Arabic"/>
          <w:sz w:val="24"/>
          <w:szCs w:val="24"/>
        </w:rPr>
        <w:t>.</w:t>
      </w:r>
    </w:p>
  </w:footnote>
  <w:footnote w:id="30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ورد بهذا اللفظ في: الزمخشريّ، محمود بن عمر، الفايق في غريب الحديث، دار الكتب العلمية، لبنان- بيروت، 1417-1996م، ط1، ج1، باب الثاء مع القاف، مادّة (ثقل)</w:t>
      </w:r>
      <w:r w:rsidRPr="00206D8A">
        <w:rPr>
          <w:rFonts w:ascii="Adobe Arabic" w:hAnsi="Adobe Arabic" w:cs="Adobe Arabic"/>
          <w:sz w:val="24"/>
          <w:szCs w:val="24"/>
        </w:rPr>
        <w:t>.</w:t>
      </w:r>
    </w:p>
  </w:footnote>
  <w:footnote w:id="30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نقله ابن الصبّاغ المالكيّ في الفصول المهمّة عن الزهريّ، حقّقه ووثّق أصوله وعلّق عليه: سامي الغريريّ، دار الحديث للطباعة والنشر، ط1، 1422هـ، المجلّد الأوّل، ص237</w:t>
      </w:r>
      <w:r w:rsidRPr="00206D8A">
        <w:rPr>
          <w:rFonts w:ascii="Adobe Arabic" w:hAnsi="Adobe Arabic" w:cs="Adobe Arabic"/>
          <w:sz w:val="24"/>
          <w:szCs w:val="24"/>
        </w:rPr>
        <w:t>.</w:t>
      </w:r>
    </w:p>
  </w:footnote>
  <w:footnote w:id="30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ابن عقدة، كتاب الولاية، مصدر سابق، من طريق عروة بن خارجة إلى الزهراء</w:t>
      </w:r>
      <w:r w:rsidRPr="00206D8A">
        <w:rPr>
          <w:rFonts w:ascii="Adobe Arabic" w:hAnsi="Adobe Arabic" w:cs="Adobe Arabic"/>
          <w:sz w:val="24"/>
          <w:szCs w:val="24"/>
        </w:rPr>
        <w:t xml:space="preserve"> i</w:t>
      </w:r>
      <w:r w:rsidRPr="00206D8A">
        <w:rPr>
          <w:rFonts w:ascii="Adobe Arabic" w:hAnsi="Adobe Arabic" w:cs="Adobe Arabic"/>
          <w:sz w:val="24"/>
          <w:szCs w:val="24"/>
          <w:rtl/>
        </w:rPr>
        <w:t>، وطريق يونس بن عبد الله بن أبي فروة إلى جابر بن عبد الله الأنصاري، ص218-242</w:t>
      </w:r>
      <w:r w:rsidRPr="00206D8A">
        <w:rPr>
          <w:rFonts w:ascii="Adobe Arabic" w:hAnsi="Adobe Arabic" w:cs="Adobe Arabic"/>
          <w:sz w:val="24"/>
          <w:szCs w:val="24"/>
        </w:rPr>
        <w:t>.</w:t>
      </w:r>
    </w:p>
  </w:footnote>
  <w:footnote w:id="30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القندوزيّ الحنفيّ، ينابيع المودّة، م.س، كتاب السبعين في فضائل أمير المؤمنين، ص711، ح68</w:t>
      </w:r>
      <w:r w:rsidRPr="00206D8A">
        <w:rPr>
          <w:rFonts w:ascii="Adobe Arabic" w:hAnsi="Adobe Arabic" w:cs="Adobe Arabic"/>
          <w:sz w:val="24"/>
          <w:szCs w:val="24"/>
        </w:rPr>
        <w:t>.</w:t>
      </w:r>
    </w:p>
  </w:footnote>
  <w:footnote w:id="30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صحيح مسلم، مصدر سابق، كتاب فضائل الصحابة، باب من فضائل عليّ بن أبي طالب، ح4552</w:t>
      </w:r>
      <w:r w:rsidRPr="00206D8A">
        <w:rPr>
          <w:rFonts w:ascii="Adobe Arabic" w:hAnsi="Adobe Arabic" w:cs="Adobe Arabic"/>
          <w:sz w:val="24"/>
          <w:szCs w:val="24"/>
        </w:rPr>
        <w:t>.</w:t>
      </w:r>
    </w:p>
  </w:footnote>
  <w:footnote w:id="30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ذكره بهذا اللفظ: الشيخ محمد الزرندي الحنفي، نظم درر السمطين، لا.ن، لا.م، 1377-1958م، ط1، عن زيد بن أرقم: "قال: أقبل رسولُ الله (صلى الله عليه وآله) يوم حجّة الوداع، فقال: إنّي فرطكم على الحوض، وإنّكم تبعي، وإنّكم توشكون أن تَرِدُوا عَلَيَّ الحوض، فأسألكم عن ثقلَيَّ كيف خلّفتموني فيهما</w:t>
      </w:r>
      <w:r w:rsidRPr="00206D8A">
        <w:rPr>
          <w:rFonts w:ascii="Adobe Arabic" w:hAnsi="Adobe Arabic" w:cs="Adobe Arabic"/>
          <w:sz w:val="24"/>
          <w:szCs w:val="24"/>
        </w:rPr>
        <w:t>...".</w:t>
      </w:r>
    </w:p>
  </w:footnote>
  <w:footnote w:id="31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ابن عقدة في كتاب الولاية، مصدر سابق، من طريق محمّد بن كثير، ص209، وأخرجه الإمام أحمد في مسنده عن زيد بن ثابت، دار صادر، بيروت، ج5، ص182. وأخرجه الطبرانيّ في المعجم الكبير عن زيد بن ثابت أيضًا، ح4921</w:t>
      </w:r>
      <w:r w:rsidRPr="00206D8A">
        <w:rPr>
          <w:rFonts w:ascii="Adobe Arabic" w:hAnsi="Adobe Arabic" w:cs="Adobe Arabic"/>
          <w:sz w:val="24"/>
          <w:szCs w:val="24"/>
        </w:rPr>
        <w:t>.</w:t>
      </w:r>
    </w:p>
  </w:footnote>
  <w:footnote w:id="31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الطبرانيّ في الكبير، مصدر سابق، من حديث زيد بن ثابت، ح4922</w:t>
      </w:r>
      <w:r w:rsidRPr="00206D8A">
        <w:rPr>
          <w:rFonts w:ascii="Adobe Arabic" w:hAnsi="Adobe Arabic" w:cs="Adobe Arabic"/>
          <w:sz w:val="24"/>
          <w:szCs w:val="24"/>
        </w:rPr>
        <w:t>.</w:t>
      </w:r>
    </w:p>
  </w:footnote>
  <w:footnote w:id="31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ابن أبي شيبة الكوفي، عبد الله بن محمد، المصنف، تحقيق وتعليق: سعيد اللحام، دار الفكر للطباعة والنشر والتوزيع، لبنان- بيروت، 1409-1989م، ط1، كتاب الفضائل، باب ما أعطى الله محمّدًا (صلى الله عليه وآله)، ح41، ورواه عنه ابن أبي عاصم في كتابه السنّة، ح1549</w:t>
      </w:r>
      <w:r w:rsidRPr="00206D8A">
        <w:rPr>
          <w:rFonts w:ascii="Adobe Arabic" w:hAnsi="Adobe Arabic" w:cs="Adobe Arabic"/>
          <w:sz w:val="24"/>
          <w:szCs w:val="24"/>
        </w:rPr>
        <w:t>.</w:t>
      </w:r>
    </w:p>
  </w:footnote>
  <w:footnote w:id="31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المتقي الهندي، كنز العمّال، مصدر سابق، ح950، والحاكم النيسابوريّ، أبو عبد الله، وبذيله التلخيص للحافظ الذهبيّ طبعة مزيدة بفهرس الأحاديث الشريفة، بإشراف د. يوسف عبد الرحمن المرعشلي، دار المعرفة، بيروت – لبنان، ج3، ص110</w:t>
      </w:r>
      <w:r w:rsidRPr="00206D8A">
        <w:rPr>
          <w:rFonts w:ascii="Adobe Arabic" w:hAnsi="Adobe Arabic" w:cs="Adobe Arabic"/>
          <w:sz w:val="24"/>
          <w:szCs w:val="24"/>
        </w:rPr>
        <w:t>.</w:t>
      </w:r>
    </w:p>
  </w:footnote>
  <w:footnote w:id="31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عساكر، أبو القاسم عليّ بن الحسن بن هبة الله، تاريخ مدينة دمشق، دراسة وتحقيق: علي شيري، دار الفكر، لا.ت، لا.ط، ج42، ص216</w:t>
      </w:r>
      <w:r w:rsidRPr="00206D8A">
        <w:rPr>
          <w:rFonts w:ascii="Adobe Arabic" w:hAnsi="Adobe Arabic" w:cs="Adobe Arabic"/>
          <w:sz w:val="24"/>
          <w:szCs w:val="24"/>
        </w:rPr>
        <w:t>.</w:t>
      </w:r>
    </w:p>
  </w:footnote>
  <w:footnote w:id="31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الهيثميّ، نور الدين، مجمع الزوائد ومنبع الفوائد، تحقيق: محمّد عبد القادر عطا، دار الكتب العلميّة، بيروت – لبنان، لا.ت، لا.ط، ج9، ص183، ح14958، والسمهوديّ، نور الدين عليّ بن عبد الله، جواهر العقدَين في فضل الشرفين، تحقيق: مصطفى عبد القادر عطا، دار الكتب العلميّة، بيروت – لبنان، لا.ت، لا.ط، ص239. والسيوطيّ، جلال الدين، إحياء فضائل أهل البيت، ح22. جميعهم نقلوه عن مسند البزّار</w:t>
      </w:r>
      <w:r w:rsidRPr="00206D8A">
        <w:rPr>
          <w:rFonts w:ascii="Adobe Arabic" w:hAnsi="Adobe Arabic" w:cs="Adobe Arabic"/>
          <w:sz w:val="24"/>
          <w:szCs w:val="24"/>
        </w:rPr>
        <w:t>.</w:t>
      </w:r>
    </w:p>
  </w:footnote>
  <w:footnote w:id="31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نقله المتّقي الهنديّ في كنز العمّال، مصدر سابق، عن ابن أبي شيبة، والخطيب في المتّفق والمفترق من حديث جابر، ح951</w:t>
      </w:r>
      <w:r w:rsidRPr="00206D8A">
        <w:rPr>
          <w:rFonts w:ascii="Adobe Arabic" w:hAnsi="Adobe Arabic" w:cs="Adobe Arabic"/>
          <w:sz w:val="24"/>
          <w:szCs w:val="24"/>
        </w:rPr>
        <w:t>.</w:t>
      </w:r>
    </w:p>
  </w:footnote>
  <w:footnote w:id="31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الطبرانيّ في الجامع الصغير، مصدر سابق، من طريق الحسن بن مسلم، باب الحاء/ من اسمه الحسن، ح376، وقال: لم يَرْوَ هذا الحديث عن هارون إلّا يونس</w:t>
      </w:r>
      <w:r w:rsidRPr="00206D8A">
        <w:rPr>
          <w:rFonts w:ascii="Adobe Arabic" w:hAnsi="Adobe Arabic" w:cs="Adobe Arabic"/>
          <w:sz w:val="24"/>
          <w:szCs w:val="24"/>
        </w:rPr>
        <w:t>.</w:t>
      </w:r>
    </w:p>
  </w:footnote>
  <w:footnote w:id="31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صحيح الترمذيّ، محمّد بن عيسى أبو عيسى، الجامع الصحيح سنن الترمذيّ، تحقيق: أحمد محمّد شاكر وآخرون، الأحاديث مذيّلة بأحكام الألبانيّ عليها، دار إحياء التراث العربيّ، بيروت – لبنان، لا.ت، لا.ط، ج5، ص663، ح3788. قال الترمذيّ: وهذا حديث حسن غريب، قال الشيخ الألبانيّ</w:t>
      </w:r>
      <w:r w:rsidRPr="00206D8A">
        <w:rPr>
          <w:rFonts w:ascii="Adobe Arabic" w:hAnsi="Adobe Arabic" w:cs="Adobe Arabic"/>
          <w:sz w:val="24"/>
          <w:szCs w:val="24"/>
        </w:rPr>
        <w:t>.</w:t>
      </w:r>
    </w:p>
  </w:footnote>
  <w:footnote w:id="31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محمد بن سليمان الكوفي، مناقب الإمام أمير المؤمنين</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tl/>
        </w:rPr>
        <w:t>، تحقيق: الشيخ محمد باقر المحمودي، مجمع إحياء الثقافة الإسلامية، إيران- قم، 1412هـ، ط1، بهذا اللفظ، بسنده إلى أبي سعيد الخدريّ، ج2، ح622</w:t>
      </w:r>
      <w:r w:rsidRPr="00206D8A">
        <w:rPr>
          <w:rFonts w:ascii="Adobe Arabic" w:hAnsi="Adobe Arabic" w:cs="Adobe Arabic"/>
          <w:sz w:val="24"/>
          <w:szCs w:val="24"/>
        </w:rPr>
        <w:t>.</w:t>
      </w:r>
    </w:p>
  </w:footnote>
  <w:footnote w:id="32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الطبرانيّ في أخبار الحسن بن عليّ</w:t>
      </w:r>
      <w:r w:rsidRPr="00206D8A">
        <w:rPr>
          <w:rFonts w:ascii="Adobe Arabic" w:hAnsi="Adobe Arabic" w:cs="Adobe Arabic"/>
          <w:sz w:val="24"/>
          <w:szCs w:val="24"/>
        </w:rPr>
        <w:t xml:space="preserve"> </w:t>
      </w:r>
      <w:r w:rsidR="00140DE2">
        <w:rPr>
          <w:rFonts w:ascii="Adobe Arabic" w:hAnsi="Adobe Arabic" w:cs="Adobe Arabic"/>
          <w:sz w:val="24"/>
          <w:szCs w:val="24"/>
          <w:rtl/>
        </w:rPr>
        <w:t>(عليهما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عن أبي سعيد الخدريّ، ح154؛ وفي المعجم الكبير، مصدر سابق، عن جابر، ح2680؛ ورواه أبو يعلى الموصليّ في مسنده عن أبي سعيد الخدريّ، ح1102</w:t>
      </w:r>
      <w:r w:rsidRPr="00206D8A">
        <w:rPr>
          <w:rFonts w:ascii="Adobe Arabic" w:hAnsi="Adobe Arabic" w:cs="Adobe Arabic"/>
          <w:sz w:val="24"/>
          <w:szCs w:val="24"/>
        </w:rPr>
        <w:t>.</w:t>
      </w:r>
    </w:p>
  </w:footnote>
  <w:footnote w:id="32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الطبرانيّ، كما في الحاشية السابقة</w:t>
      </w:r>
      <w:r w:rsidRPr="00206D8A">
        <w:rPr>
          <w:rFonts w:ascii="Adobe Arabic" w:hAnsi="Adobe Arabic" w:cs="Adobe Arabic"/>
          <w:sz w:val="24"/>
          <w:szCs w:val="24"/>
        </w:rPr>
        <w:t>.</w:t>
      </w:r>
    </w:p>
  </w:footnote>
  <w:footnote w:id="32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أبو يعلى الموصليّ ومحمّد بن سليمان الكوفيّ، كما في الحاشيَتين 55 و56</w:t>
      </w:r>
      <w:r w:rsidRPr="00206D8A">
        <w:rPr>
          <w:rFonts w:ascii="Adobe Arabic" w:hAnsi="Adobe Arabic" w:cs="Adobe Arabic"/>
          <w:sz w:val="24"/>
          <w:szCs w:val="24"/>
        </w:rPr>
        <w:t>.</w:t>
      </w:r>
    </w:p>
  </w:footnote>
  <w:footnote w:id="32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كما في الحاشية 55</w:t>
      </w:r>
      <w:r w:rsidRPr="00206D8A">
        <w:rPr>
          <w:rFonts w:ascii="Adobe Arabic" w:hAnsi="Adobe Arabic" w:cs="Adobe Arabic"/>
          <w:sz w:val="24"/>
          <w:szCs w:val="24"/>
        </w:rPr>
        <w:t>.</w:t>
      </w:r>
    </w:p>
  </w:footnote>
  <w:footnote w:id="324">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ورد هذا اللفظ في مصادر كثيرة، انظر مثلًا: السنن الكبرى للنسائيّ، مصدر سابق، ح8148 و 8446؛ والسنّة لابن أبي عاصم، ح1555؛ وفي خبر الطبرانيّ المنقول في كتاب أخبار الحسن بن عليّ</w:t>
      </w:r>
      <w:r w:rsidRPr="00206D8A">
        <w:rPr>
          <w:rFonts w:ascii="Adobe Arabic" w:hAnsi="Adobe Arabic" w:cs="Adobe Arabic"/>
          <w:sz w:val="24"/>
          <w:szCs w:val="24"/>
        </w:rPr>
        <w:t xml:space="preserve"> </w:t>
      </w:r>
      <w:r w:rsidR="00140DE2">
        <w:rPr>
          <w:rFonts w:ascii="Adobe Arabic" w:hAnsi="Adobe Arabic" w:cs="Adobe Arabic"/>
          <w:sz w:val="24"/>
          <w:szCs w:val="24"/>
          <w:rtl/>
        </w:rPr>
        <w:t>(عليهما السلام)</w:t>
      </w:r>
      <w:r w:rsidRPr="00206D8A">
        <w:rPr>
          <w:rFonts w:ascii="Adobe Arabic" w:hAnsi="Adobe Arabic" w:cs="Adobe Arabic"/>
          <w:sz w:val="24"/>
          <w:szCs w:val="24"/>
          <w:rtl/>
        </w:rPr>
        <w:t>، ح154؛ والحاكم في المستدرك، مصدر سابق، ح4553</w:t>
      </w:r>
      <w:r w:rsidRPr="00206D8A">
        <w:rPr>
          <w:rFonts w:ascii="Adobe Arabic" w:hAnsi="Adobe Arabic" w:cs="Adobe Arabic"/>
          <w:sz w:val="24"/>
          <w:szCs w:val="24"/>
        </w:rPr>
        <w:t>.</w:t>
      </w:r>
    </w:p>
  </w:footnote>
  <w:footnote w:id="325">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سنن الترمذيّ، مصدر سابق، ح3876</w:t>
      </w:r>
      <w:r w:rsidRPr="00206D8A">
        <w:rPr>
          <w:rFonts w:ascii="Adobe Arabic" w:hAnsi="Adobe Arabic" w:cs="Adobe Arabic"/>
          <w:sz w:val="24"/>
          <w:szCs w:val="24"/>
        </w:rPr>
        <w:t>.</w:t>
      </w:r>
    </w:p>
  </w:footnote>
  <w:footnote w:id="326">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الشيخ الصدوق في الخصال، م.س، ح98؛ والطبرانيّ في المعجم الكبير، مصدر سابق، ح3052</w:t>
      </w:r>
      <w:r w:rsidRPr="00206D8A">
        <w:rPr>
          <w:rFonts w:ascii="Adobe Arabic" w:hAnsi="Adobe Arabic" w:cs="Adobe Arabic"/>
          <w:sz w:val="24"/>
          <w:szCs w:val="24"/>
        </w:rPr>
        <w:t>.</w:t>
      </w:r>
    </w:p>
  </w:footnote>
  <w:footnote w:id="327">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سنن النسائيّ، مصدر سابق، ح8175</w:t>
      </w:r>
      <w:r w:rsidRPr="00206D8A">
        <w:rPr>
          <w:rFonts w:ascii="Adobe Arabic" w:hAnsi="Adobe Arabic" w:cs="Adobe Arabic"/>
          <w:sz w:val="24"/>
          <w:szCs w:val="24"/>
        </w:rPr>
        <w:t>.</w:t>
      </w:r>
    </w:p>
  </w:footnote>
  <w:footnote w:id="328">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الطبراني، سليمان بن أحمد، المعجم الأوسط، قسم التحقيق بدار الحرمين، دار الحرمين للطباعة والنشر والتوزيع، 1415-1995م، لا.ط، ح3463؛ والطبراني، سليمان بن أحمد، المعجم الصغير، دار الكتب العلمية، لبنان - بيروت، لا.ت، لا.ط، ح363</w:t>
      </w:r>
      <w:r w:rsidRPr="00206D8A">
        <w:rPr>
          <w:rFonts w:ascii="Adobe Arabic" w:hAnsi="Adobe Arabic" w:cs="Adobe Arabic"/>
          <w:sz w:val="24"/>
          <w:szCs w:val="24"/>
        </w:rPr>
        <w:t>.</w:t>
      </w:r>
    </w:p>
  </w:footnote>
  <w:footnote w:id="329">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الجامع الصغير للسيوطيّ، ح2631؛ والمعجم الكبير للطبرانيّ، مصدر سابق، ح2678</w:t>
      </w:r>
      <w:r w:rsidRPr="00206D8A">
        <w:rPr>
          <w:rFonts w:ascii="Adobe Arabic" w:hAnsi="Adobe Arabic" w:cs="Adobe Arabic"/>
          <w:sz w:val="24"/>
          <w:szCs w:val="24"/>
        </w:rPr>
        <w:t>.</w:t>
      </w:r>
    </w:p>
  </w:footnote>
  <w:footnote w:id="330">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ذُكِرَ بأسانيد متعدّدة، انظر مثلًا: الطبراني، المعجم الكبير، مصدر سابق، عن زيد بن أرقم، ح2681؛ وعن حذيفة بن أسيد الغفاريّ، ح2683</w:t>
      </w:r>
      <w:r w:rsidRPr="00206D8A">
        <w:rPr>
          <w:rFonts w:ascii="Adobe Arabic" w:hAnsi="Adobe Arabic" w:cs="Adobe Arabic"/>
          <w:sz w:val="24"/>
          <w:szCs w:val="24"/>
        </w:rPr>
        <w:t>.</w:t>
      </w:r>
    </w:p>
  </w:footnote>
  <w:footnote w:id="331">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الطبرانيّ في أخبار الحسن بن عليّ عليهما السلام ح157</w:t>
      </w:r>
      <w:r w:rsidRPr="00206D8A">
        <w:rPr>
          <w:rFonts w:ascii="Adobe Arabic" w:hAnsi="Adobe Arabic" w:cs="Adobe Arabic"/>
          <w:sz w:val="24"/>
          <w:szCs w:val="24"/>
        </w:rPr>
        <w:t>.</w:t>
      </w:r>
    </w:p>
  </w:footnote>
  <w:footnote w:id="332">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رُوِيَ عن زيد بن أرقم، انظر مثلًا: السنن الكبرى للنسائيّ، مصدر سابق، ح8175؛ والسنّة لابن أبي عاصم، ح1551</w:t>
      </w:r>
      <w:r w:rsidRPr="00206D8A">
        <w:rPr>
          <w:rFonts w:ascii="Adobe Arabic" w:hAnsi="Adobe Arabic" w:cs="Adobe Arabic"/>
          <w:sz w:val="24"/>
          <w:szCs w:val="24"/>
        </w:rPr>
        <w:t>.</w:t>
      </w:r>
    </w:p>
  </w:footnote>
  <w:footnote w:id="333">
    <w:p w:rsidR="00091C88" w:rsidRPr="00206D8A" w:rsidRDefault="00091C88" w:rsidP="00206D8A">
      <w:pPr>
        <w:pStyle w:val="FootnoteText"/>
        <w:bidi/>
        <w:jc w:val="both"/>
        <w:rPr>
          <w:rFonts w:ascii="Adobe Arabic" w:hAnsi="Adobe Arabic" w:cs="Adobe Arabic"/>
          <w:sz w:val="24"/>
          <w:szCs w:val="24"/>
          <w:rtl/>
          <w:lang w:bidi="ar-LB"/>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الصدوق، الشيخ محمد بن علي، الأمالي، تحقيق: قسم الدراسات الإسلامية- مؤسسة البعثة، مركز الطباعة والنشر في مؤسسة البعثة، إيران - قم، 1417هـ، ط1، بهذه الصيغة: "فإنّه لا بدَّ سائلكم عمّا عملتم بالثقلَين من بعدي: كتاب الله وعترتي، فانظروا أن لا تقولوا: أمّا الكتاب فغيّرنا وحرّفنا، وأمّا العترة ففارقنا وقتلنا". الأمالي، الشيخ الصدوق، ص354؛ وابن أبي عاصم، عمرو بن أبي عاصم، السنة (ومعه ظلال الجنة بتخريج السنة بقلم محمد ناصر الدين الألباني)، المكتب الإسلامي، لبنان- بيروت، 1413-1993م، ط3، عن زيد بن ثابت، ح1548</w:t>
      </w:r>
      <w:r w:rsidRPr="00206D8A">
        <w:rPr>
          <w:rFonts w:ascii="Adobe Arabic" w:hAnsi="Adobe Arabic" w:cs="Adobe Arabic"/>
          <w:sz w:val="24"/>
          <w:szCs w:val="24"/>
        </w:rPr>
        <w:t>.</w:t>
      </w:r>
    </w:p>
  </w:footnote>
  <w:footnote w:id="334">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وردتَ بلفظ "وعترتي أهل بيتي" في معظم المصادر، انظر مثلًا: السنن الكبرى للنسائيّ، مصدر سابق، حديث رقم 8148، 8464؛ والسنّة لابن أبي عاصم، ح754، 1549، 1553؛ والأمالي للشيخ الصدوق، ح686، ص500؛ وأخبار الحسن بن عليّ</w:t>
      </w:r>
      <w:r w:rsidRPr="00206D8A">
        <w:rPr>
          <w:rFonts w:ascii="Adobe Arabic" w:hAnsi="Adobe Arabic" w:cs="Adobe Arabic"/>
          <w:sz w:val="24"/>
          <w:szCs w:val="24"/>
        </w:rPr>
        <w:t xml:space="preserve"> </w:t>
      </w:r>
      <w:r w:rsidR="00140DE2">
        <w:rPr>
          <w:rFonts w:ascii="Adobe Arabic" w:hAnsi="Adobe Arabic" w:cs="Adobe Arabic"/>
          <w:sz w:val="24"/>
          <w:szCs w:val="24"/>
          <w:rtl/>
        </w:rPr>
        <w:t>(عليهما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للطبرانيّ، ح154، 155، 156؛ والطبقات الكبرى لابن سعد، ج2، ص194</w:t>
      </w:r>
      <w:r w:rsidRPr="00206D8A">
        <w:rPr>
          <w:rFonts w:ascii="Adobe Arabic" w:hAnsi="Adobe Arabic" w:cs="Adobe Arabic"/>
          <w:sz w:val="24"/>
          <w:szCs w:val="24"/>
        </w:rPr>
        <w:t>.</w:t>
      </w:r>
    </w:p>
  </w:footnote>
  <w:footnote w:id="335">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ذكره القندوزيّ الحنفيّ في ينابيع المودّة، مصدر سابق، في كتاب "السبعين في فضائل أمير المؤمنين"، ح68</w:t>
      </w:r>
      <w:r w:rsidRPr="00206D8A">
        <w:rPr>
          <w:rFonts w:ascii="Adobe Arabic" w:hAnsi="Adobe Arabic" w:cs="Adobe Arabic"/>
          <w:sz w:val="24"/>
          <w:szCs w:val="24"/>
        </w:rPr>
        <w:t>.</w:t>
      </w:r>
    </w:p>
  </w:footnote>
  <w:footnote w:id="336">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المستدرك للحاكم النيسابوريّ، مصدر سابق، ح4765؛ والمعجم الكبير للطبرانيّ، مصدر سابق، ح4921</w:t>
      </w:r>
      <w:r w:rsidRPr="00206D8A">
        <w:rPr>
          <w:rFonts w:ascii="Adobe Arabic" w:hAnsi="Adobe Arabic" w:cs="Adobe Arabic"/>
          <w:sz w:val="24"/>
          <w:szCs w:val="24"/>
        </w:rPr>
        <w:t>.</w:t>
      </w:r>
    </w:p>
  </w:footnote>
  <w:footnote w:id="337">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المعجم الكبير للطبرانيّ، مصدر سابق، ح2681</w:t>
      </w:r>
      <w:r w:rsidRPr="00206D8A">
        <w:rPr>
          <w:rFonts w:ascii="Adobe Arabic" w:hAnsi="Adobe Arabic" w:cs="Adobe Arabic"/>
          <w:sz w:val="24"/>
          <w:szCs w:val="24"/>
        </w:rPr>
        <w:t>.</w:t>
      </w:r>
    </w:p>
  </w:footnote>
  <w:footnote w:id="338">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نقله الحافظ نور الدين الهيثميّ في مجمع الزوائد، عن البزّار بلفظ (ونسبي). انظر: مجمع الزوائد ومنبع الفوائد، تحقيق: محمّد عبد القادر عطا، دار الكتب العلميّة، بيروت – لبنان، لا.ت، لا.ط، ج9، ص183، ح14958؛ ونقله السمهوديّ الشافعيّ كذلك في جواهر العقدين باللفظ نفسه (ونسبي)، انظر: جواهر العقدَين في فضل الشرفَين، تحقيق: مصطفى عبد القادر عطا، دار الكتب العلميّة، بيروت – لبنان، لا.ت، لا.ط، ص239</w:t>
      </w:r>
      <w:r w:rsidRPr="00206D8A">
        <w:rPr>
          <w:rFonts w:ascii="Adobe Arabic" w:hAnsi="Adobe Arabic" w:cs="Adobe Arabic"/>
          <w:sz w:val="24"/>
          <w:szCs w:val="24"/>
        </w:rPr>
        <w:t>.</w:t>
      </w:r>
    </w:p>
  </w:footnote>
  <w:footnote w:id="339">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نقله السيوطيّ في إحياء فضائل أهل البيت عن البزّار بلفظ (ونسبتي)، انظر: إحياء فضائل أهل البيت، ح22. وعلى ضوء ما ورد من نقل السيوطيّ والسمهوديّ والهيثميّ، يتّضح أنّ ما ورد في بعض نسخ مسند البزّار من لفظ (وسنّتي) بعيدٌ جدًّا</w:t>
      </w:r>
      <w:r w:rsidRPr="00206D8A">
        <w:rPr>
          <w:rFonts w:ascii="Adobe Arabic" w:hAnsi="Adobe Arabic" w:cs="Adobe Arabic"/>
          <w:sz w:val="24"/>
          <w:szCs w:val="24"/>
        </w:rPr>
        <w:t>.</w:t>
      </w:r>
    </w:p>
  </w:footnote>
  <w:footnote w:id="340">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الخزّاز القمّيّ الرازيّ، أبو القاسم عليّ بن محمّد بن عليّ، حقّقه السيّد عبد اللطيف الحسينيّ الكوه كمرى الخوئيّ، انتشارات بيدار، لا.ت، لا.ط، ص265</w:t>
      </w:r>
      <w:r w:rsidRPr="00206D8A">
        <w:rPr>
          <w:rFonts w:ascii="Adobe Arabic" w:hAnsi="Adobe Arabic" w:cs="Adobe Arabic"/>
          <w:sz w:val="24"/>
          <w:szCs w:val="24"/>
        </w:rPr>
        <w:t>.</w:t>
      </w:r>
    </w:p>
  </w:footnote>
  <w:footnote w:id="341">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الحافظ بن عقدة في كتاب الولاية، مصدر سابق، ضمن حديث المناشدة، ص175؛ ورواه عنه ابن المغازليّ في كتابه "مناقب عليّ"، ح155</w:t>
      </w:r>
      <w:r w:rsidRPr="00206D8A">
        <w:rPr>
          <w:rFonts w:ascii="Adobe Arabic" w:hAnsi="Adobe Arabic" w:cs="Adobe Arabic"/>
          <w:sz w:val="24"/>
          <w:szCs w:val="24"/>
        </w:rPr>
        <w:t>.</w:t>
      </w:r>
    </w:p>
  </w:footnote>
  <w:footnote w:id="342">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إحياء فضائل أهل البيت للسيوطيّ، ح23، نقلًا عن البزّار</w:t>
      </w:r>
      <w:r w:rsidRPr="00206D8A">
        <w:rPr>
          <w:rFonts w:ascii="Adobe Arabic" w:hAnsi="Adobe Arabic" w:cs="Adobe Arabic"/>
          <w:sz w:val="24"/>
          <w:szCs w:val="24"/>
        </w:rPr>
        <w:t>.</w:t>
      </w:r>
    </w:p>
  </w:footnote>
  <w:footnote w:id="343">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النعمانيّ، محمّد بن إبراهيم، الغيبة، تحقيق: فارس حسّون كريم، منشورات أنوار الهدى، إيران – قمّ، ط1، 1422ه‍.ق، ج1، ص48؛ وابن عساكر، أبو القاسم عليّ بن الحسن، تاريخ مدينة دمشق، تحقيق: مصطفى عبد القادر عطا، دار الكتب العلميّة، بيروت – لبنان، لا.ت، لا.ط، ج23، تتمّة حرف العين (عليّ بن أحمد بن إبراهيم – عليّ أبو الحسن)، ص369</w:t>
      </w:r>
      <w:r w:rsidRPr="00206D8A">
        <w:rPr>
          <w:rFonts w:ascii="Adobe Arabic" w:hAnsi="Adobe Arabic" w:cs="Adobe Arabic"/>
          <w:sz w:val="24"/>
          <w:szCs w:val="24"/>
        </w:rPr>
        <w:t>.</w:t>
      </w:r>
    </w:p>
  </w:footnote>
  <w:footnote w:id="344">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المعجم الكبير للطبرانيّ، مصدر سابق، ح4971</w:t>
      </w:r>
      <w:r w:rsidRPr="00206D8A">
        <w:rPr>
          <w:rFonts w:ascii="Adobe Arabic" w:hAnsi="Adobe Arabic" w:cs="Adobe Arabic"/>
          <w:sz w:val="24"/>
          <w:szCs w:val="24"/>
        </w:rPr>
        <w:t>.</w:t>
      </w:r>
    </w:p>
  </w:footnote>
  <w:footnote w:id="345">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نقله القندوزيّ الحنفيّ في ينابيع المودّة، مصدر سابق، ج3، ص142</w:t>
      </w:r>
      <w:r w:rsidRPr="00206D8A">
        <w:rPr>
          <w:rFonts w:ascii="Adobe Arabic" w:hAnsi="Adobe Arabic" w:cs="Adobe Arabic"/>
          <w:sz w:val="24"/>
          <w:szCs w:val="24"/>
        </w:rPr>
        <w:t>.</w:t>
      </w:r>
    </w:p>
  </w:footnote>
  <w:footnote w:id="346">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الدارقطنيّ في المؤتلف والمختلف، مصدر سابق، عن أبي ذرّ الغفاريّ (رضوان الله عليه)، باب رُسْتُم ورَسِيم، فصل مُحمَّد بن رُسْتُم أبو الصَّامت الضَّبيّ</w:t>
      </w:r>
      <w:r w:rsidRPr="00206D8A">
        <w:rPr>
          <w:rFonts w:ascii="Adobe Arabic" w:hAnsi="Adobe Arabic" w:cs="Adobe Arabic"/>
          <w:sz w:val="24"/>
          <w:szCs w:val="24"/>
        </w:rPr>
        <w:t>.</w:t>
      </w:r>
    </w:p>
  </w:footnote>
  <w:footnote w:id="347">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الشيخ الكلينيّ في الكافي، مصدر سابق، عن سليم بن قيس عن أمير المؤمنين</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tl/>
        </w:rPr>
        <w:t>، باب أدنى ما يكون العبد به مؤمنًا أو كافرًا أو ضالًا، ح1، ج2، ص415</w:t>
      </w:r>
      <w:r w:rsidRPr="00206D8A">
        <w:rPr>
          <w:rFonts w:ascii="Adobe Arabic" w:hAnsi="Adobe Arabic" w:cs="Adobe Arabic"/>
          <w:sz w:val="24"/>
          <w:szCs w:val="24"/>
        </w:rPr>
        <w:t>.</w:t>
      </w:r>
    </w:p>
  </w:footnote>
  <w:footnote w:id="348">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ابن سعد، محمّد، الطبقات الكبرى، دراسة وتحقيق: عبد القادر عطا، دار الكتب العلميّة، بيروت – لبنان، ط1، ج2، ص150؛ وفضائل أهل البيت للإمام أحمد، ح433؛ وهو في المسند برقم 11147؛ وكمال الدين وتمام النعمة، باب اتّصال الوصيّة من لدن آدم</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وأنّ الأرض لا تخلو من حجّة لله عزَّ وجلَّ على خلقه إلى يوم القيامة، ح46</w:t>
      </w:r>
      <w:r w:rsidRPr="00206D8A">
        <w:rPr>
          <w:rFonts w:ascii="Adobe Arabic" w:hAnsi="Adobe Arabic" w:cs="Adobe Arabic"/>
          <w:sz w:val="24"/>
          <w:szCs w:val="24"/>
        </w:rPr>
        <w:t>.</w:t>
      </w:r>
    </w:p>
  </w:footnote>
  <w:footnote w:id="349">
    <w:p w:rsidR="004D54AB" w:rsidRPr="00206D8A" w:rsidRDefault="004D54A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نقله المتقيّ الهنديّ في كنز العمّال، مصدر سابق، عن الطبقات الكبرى لابن سعد، والمسند للإمام أحمد، مصدر سابق، ومسند أبي يعلى الموصليّ، ومسند ابن أبي شيبة، برواية أبي سعيد الخدريّ</w:t>
      </w:r>
      <w:r w:rsidRPr="00206D8A">
        <w:rPr>
          <w:rFonts w:ascii="Adobe Arabic" w:hAnsi="Adobe Arabic" w:cs="Adobe Arabic"/>
          <w:sz w:val="24"/>
          <w:szCs w:val="24"/>
        </w:rPr>
        <w:t>.</w:t>
      </w:r>
    </w:p>
  </w:footnote>
  <w:footnote w:id="350">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سنن النسائي، مصدر سابق، ح8148 و 8464؛ عن زيد بن أرقم، والسنة لابن أبي عاصم، ح754 و1549؛ عن زيد بن ثابت و1553 عن أبي سعيد الخدريّ، والمستدرك للحاكم، مصدر سابق، ح4578 و 4765؛ عن زيد بن أرقم، والمعجم الكبير للطبرانيّ، مصدر سابق، ح4922 و4923؛ عن زيد بن ثابت، و 4832 عن زيد بن أرقم</w:t>
      </w:r>
      <w:r w:rsidRPr="00206D8A">
        <w:rPr>
          <w:rFonts w:ascii="Adobe Arabic" w:hAnsi="Adobe Arabic" w:cs="Adobe Arabic"/>
          <w:sz w:val="24"/>
          <w:szCs w:val="24"/>
        </w:rPr>
        <w:t>.</w:t>
      </w:r>
    </w:p>
  </w:footnote>
  <w:footnote w:id="351">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المعجم الكبير للطبرانيّ، مصدر سابق، ح2678 و 2679؛ عن أبي سعيد الخدريّ، و2681 عن زيد بن أرقم؛ والأمالي للشيخ الطوسيّ، المجلس التاسع، ح52، ومجلس يوم الجمعة السادس والعشرين من المحرّم سنة سبع وخمسين وأربعمئة، ح4</w:t>
      </w:r>
      <w:r w:rsidRPr="00206D8A">
        <w:rPr>
          <w:rFonts w:ascii="Adobe Arabic" w:hAnsi="Adobe Arabic" w:cs="Adobe Arabic"/>
          <w:sz w:val="24"/>
          <w:szCs w:val="24"/>
        </w:rPr>
        <w:t>.</w:t>
      </w:r>
    </w:p>
  </w:footnote>
  <w:footnote w:id="352">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سليم بن قيس الهلالي الكوفي، كتاب سليم بن قيس، تحقيق: محمّد باقر الأنصاري الزنجاني، إيران- قم، نشر دليل ما، 1422هـ- 1380ش، ط1، ص178</w:t>
      </w:r>
      <w:r w:rsidRPr="00206D8A">
        <w:rPr>
          <w:rFonts w:ascii="Adobe Arabic" w:hAnsi="Adobe Arabic" w:cs="Adobe Arabic"/>
          <w:sz w:val="24"/>
          <w:szCs w:val="24"/>
        </w:rPr>
        <w:t>.</w:t>
      </w:r>
    </w:p>
  </w:footnote>
  <w:footnote w:id="353">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عقدة في كتاب الولاية، مصدر سابق، ص222</w:t>
      </w:r>
      <w:r w:rsidRPr="00206D8A">
        <w:rPr>
          <w:rFonts w:ascii="Adobe Arabic" w:hAnsi="Adobe Arabic" w:cs="Adobe Arabic"/>
          <w:sz w:val="24"/>
          <w:szCs w:val="24"/>
        </w:rPr>
        <w:t>.</w:t>
      </w:r>
    </w:p>
  </w:footnote>
  <w:footnote w:id="354">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الحافظ بن عقدة في كتاب الولاية، مصدر سابق، من طريق محمّد بن عبد الله بن أبي رافع عن أبيه عن جدّه أبي رافع مولى رسول الله (صلى الله عليه وآله)، ص224</w:t>
      </w:r>
      <w:r w:rsidRPr="00206D8A">
        <w:rPr>
          <w:rFonts w:ascii="Adobe Arabic" w:hAnsi="Adobe Arabic" w:cs="Adobe Arabic"/>
          <w:sz w:val="24"/>
          <w:szCs w:val="24"/>
        </w:rPr>
        <w:t>.</w:t>
      </w:r>
    </w:p>
  </w:footnote>
  <w:footnote w:id="355">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مخلّد القرطبيّ، بقيّ، ما رُوِيَ في حوض الكوثر، ما روى حذيفة بن أسيد، ح16</w:t>
      </w:r>
      <w:r w:rsidRPr="00206D8A">
        <w:rPr>
          <w:rFonts w:ascii="Adobe Arabic" w:hAnsi="Adobe Arabic" w:cs="Adobe Arabic"/>
          <w:sz w:val="24"/>
          <w:szCs w:val="24"/>
        </w:rPr>
        <w:t>.</w:t>
      </w:r>
    </w:p>
  </w:footnote>
  <w:footnote w:id="356">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الطبرانيّ في المعجم الكبير، مصدر سابق، ح2683 و3052</w:t>
      </w:r>
      <w:r w:rsidRPr="00206D8A">
        <w:rPr>
          <w:rFonts w:ascii="Adobe Arabic" w:hAnsi="Adobe Arabic" w:cs="Adobe Arabic"/>
          <w:sz w:val="24"/>
          <w:szCs w:val="24"/>
        </w:rPr>
        <w:t>.</w:t>
      </w:r>
    </w:p>
  </w:footnote>
  <w:footnote w:id="357">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الصدوق، محمّد بن عليّ بن الحسين بن باوبويه، كمال الدين وتمام النعمة، مصدر سابق، باب</w:t>
      </w:r>
      <w:r w:rsidRPr="00206D8A">
        <w:rPr>
          <w:rFonts w:ascii="Adobe Arabic" w:hAnsi="Adobe Arabic" w:cs="Adobe Arabic"/>
          <w:sz w:val="24"/>
          <w:szCs w:val="24"/>
        </w:rPr>
        <w:t xml:space="preserve"> (</w:t>
      </w:r>
      <w:r w:rsidRPr="00206D8A">
        <w:rPr>
          <w:rFonts w:ascii="Adobe Arabic" w:hAnsi="Adobe Arabic" w:cs="Adobe Arabic"/>
          <w:sz w:val="24"/>
          <w:szCs w:val="24"/>
          <w:rtl/>
        </w:rPr>
        <w:t>اتّصال الوصيّة من لدن آدم</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وأنّ الارض لا تخلو من حجّة</w:t>
      </w:r>
      <w:r w:rsidRPr="00206D8A">
        <w:rPr>
          <w:rFonts w:ascii="Adobe Arabic" w:hAnsi="Adobe Arabic" w:cs="Adobe Arabic"/>
          <w:sz w:val="24"/>
          <w:szCs w:val="24"/>
        </w:rPr>
        <w:t>)</w:t>
      </w:r>
      <w:r w:rsidRPr="00206D8A">
        <w:rPr>
          <w:rFonts w:ascii="Adobe Arabic" w:hAnsi="Adobe Arabic" w:cs="Adobe Arabic"/>
          <w:sz w:val="24"/>
          <w:szCs w:val="24"/>
          <w:rtl/>
        </w:rPr>
        <w:t>، ح56</w:t>
      </w:r>
      <w:r w:rsidRPr="00206D8A">
        <w:rPr>
          <w:rFonts w:ascii="Adobe Arabic" w:hAnsi="Adobe Arabic" w:cs="Adobe Arabic"/>
          <w:sz w:val="24"/>
          <w:szCs w:val="24"/>
        </w:rPr>
        <w:t>.</w:t>
      </w:r>
    </w:p>
  </w:footnote>
  <w:footnote w:id="358">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أورده ابن الجوزيّ في كتابه "العلل المتناهية في الأحاديث الواهية"، دار الكتب العلميّة، بيروت، ج1، ص269،</w:t>
      </w:r>
      <w:r w:rsidRPr="00206D8A">
        <w:rPr>
          <w:rFonts w:ascii="Adobe Arabic" w:hAnsi="Adobe Arabic" w:cs="Adobe Arabic"/>
          <w:sz w:val="24"/>
          <w:szCs w:val="24"/>
        </w:rPr>
        <w:t>..</w:t>
      </w:r>
    </w:p>
  </w:footnote>
  <w:footnote w:id="359">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الحاكم الحسكانيّ في شواهد التنزيل، مصدر سابق، بإسناده عن الإمام الباقر</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في تفسير قوله تعالى</w:t>
      </w:r>
      <w:r w:rsidRPr="00206D8A">
        <w:rPr>
          <w:rFonts w:ascii="Adobe Arabic" w:hAnsi="Adobe Arabic" w:cs="Adobe Arabic"/>
          <w:sz w:val="24"/>
          <w:szCs w:val="24"/>
        </w:rPr>
        <w:t>:</w:t>
      </w:r>
    </w:p>
    <w:p w:rsidR="00A7039A" w:rsidRPr="00206D8A" w:rsidRDefault="00A7039A" w:rsidP="00206D8A">
      <w:pPr>
        <w:pStyle w:val="FootnoteText"/>
        <w:bidi/>
        <w:jc w:val="both"/>
        <w:rPr>
          <w:rFonts w:ascii="Adobe Arabic" w:hAnsi="Adobe Arabic" w:cs="Adobe Arabic"/>
          <w:sz w:val="24"/>
          <w:szCs w:val="24"/>
        </w:rPr>
      </w:pPr>
      <w:r w:rsidRPr="00140DE2">
        <w:rPr>
          <w:rFonts w:ascii="Traditional Arabic" w:hAnsi="Traditional Arabic" w:cs="Traditional Arabic"/>
          <w:b/>
          <w:bCs/>
          <w:sz w:val="24"/>
          <w:szCs w:val="24"/>
          <w:rtl/>
        </w:rPr>
        <w:t>﴿أَطِيعُواْ ٱللَّهَ وَأَطِيعُواْ ٱلرَّسُولَ وَأُوْلِي ٱلۡأَمۡرِ مِنكُمۡۖ﴾</w:t>
      </w:r>
      <w:r w:rsidRPr="00206D8A">
        <w:rPr>
          <w:rFonts w:ascii="Adobe Arabic" w:hAnsi="Adobe Arabic" w:cs="Adobe Arabic"/>
          <w:sz w:val="24"/>
          <w:szCs w:val="24"/>
          <w:rtl/>
        </w:rPr>
        <w:t xml:space="preserve"> ح203 بلفظ "أوصيكم بكتاب الله وأهل بيتي إنّي سألتُ الله أن لا يفرّق بينهما</w:t>
      </w:r>
      <w:r w:rsidRPr="00206D8A">
        <w:rPr>
          <w:rFonts w:ascii="Adobe Arabic" w:hAnsi="Adobe Arabic" w:cs="Adobe Arabic"/>
          <w:sz w:val="24"/>
          <w:szCs w:val="24"/>
        </w:rPr>
        <w:t>".</w:t>
      </w:r>
    </w:p>
  </w:footnote>
  <w:footnote w:id="360">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روى هذه الزبادة في ينابيع المودّة عن كتاب "المناقب" عن الإمام الحسن</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tl/>
        </w:rPr>
        <w:t>، عن جدّه (صلى الله عليه وآله)، الباب الثالث في بيان أنّ دوام الدنيا بدوام أهل بيته (عليهم السلام)، وبيان أنّهم سببٌ لنزول المطر والنعمة وبيان فضائلهم، ح9</w:t>
      </w:r>
      <w:r w:rsidRPr="00206D8A">
        <w:rPr>
          <w:rFonts w:ascii="Adobe Arabic" w:hAnsi="Adobe Arabic" w:cs="Adobe Arabic"/>
          <w:sz w:val="24"/>
          <w:szCs w:val="24"/>
        </w:rPr>
        <w:t>.</w:t>
      </w:r>
    </w:p>
  </w:footnote>
  <w:footnote w:id="361">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انظر مثلًا: المستدرك للحاكم النيسابوريّ، مصدر سابق، كِتَابُ مَعْرِفَةِ الصَّحَابَةِ، مَنَاقِبِ أَمِيرِ الْمُؤْمِنِينَ عَلِيِّ بْنِ أَبِي طَالِبٍ، ح4553</w:t>
      </w:r>
      <w:r w:rsidRPr="00206D8A">
        <w:rPr>
          <w:rFonts w:ascii="Adobe Arabic" w:hAnsi="Adobe Arabic" w:cs="Adobe Arabic"/>
          <w:sz w:val="24"/>
          <w:szCs w:val="24"/>
        </w:rPr>
        <w:t>.</w:t>
      </w:r>
    </w:p>
  </w:footnote>
  <w:footnote w:id="362">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أخرجه أحمد في مسنده، مصدر سابق، ح11131</w:t>
      </w:r>
      <w:r w:rsidRPr="00206D8A">
        <w:rPr>
          <w:rFonts w:ascii="Adobe Arabic" w:hAnsi="Adobe Arabic" w:cs="Adobe Arabic"/>
          <w:sz w:val="24"/>
          <w:szCs w:val="24"/>
        </w:rPr>
        <w:t>.</w:t>
      </w:r>
    </w:p>
  </w:footnote>
  <w:footnote w:id="363">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ابن المغازليّ في "مناقب عليّ"، مصدر سابق، ح282</w:t>
      </w:r>
      <w:r w:rsidRPr="00206D8A">
        <w:rPr>
          <w:rFonts w:ascii="Adobe Arabic" w:hAnsi="Adobe Arabic" w:cs="Adobe Arabic"/>
          <w:sz w:val="24"/>
          <w:szCs w:val="24"/>
        </w:rPr>
        <w:t>.</w:t>
      </w:r>
    </w:p>
  </w:footnote>
  <w:footnote w:id="364">
    <w:p w:rsidR="00A7039A" w:rsidRPr="00206D8A" w:rsidRDefault="00A7039A"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الشيخ الصدوق في كمال الدين وتمام النعمة، مصدر سابق، باب "اتّصال الوصيّة من لدن آدم</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وأنّ الأرض لا تخلو من حجّة"، ح46</w:t>
      </w:r>
      <w:r w:rsidRPr="00206D8A">
        <w:rPr>
          <w:rFonts w:ascii="Adobe Arabic" w:hAnsi="Adobe Arabic" w:cs="Adobe Arabic"/>
          <w:sz w:val="24"/>
          <w:szCs w:val="24"/>
        </w:rPr>
        <w:t>.</w:t>
      </w:r>
    </w:p>
  </w:footnote>
  <w:footnote w:id="365">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الترمذيّ في سننه، مصدر سابق، ح3788، وقال: "هذا حديثٌ حَسَنٌ غريبٌ</w:t>
      </w:r>
      <w:r w:rsidRPr="00206D8A">
        <w:rPr>
          <w:rFonts w:ascii="Adobe Arabic" w:hAnsi="Adobe Arabic" w:cs="Adobe Arabic"/>
          <w:sz w:val="24"/>
          <w:szCs w:val="24"/>
        </w:rPr>
        <w:t>".</w:t>
      </w:r>
    </w:p>
  </w:footnote>
  <w:footnote w:id="366">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عقدة في كتاب الولاية، مصدر سابق، ص159</w:t>
      </w:r>
      <w:r w:rsidRPr="00206D8A">
        <w:rPr>
          <w:rFonts w:ascii="Adobe Arabic" w:hAnsi="Adobe Arabic" w:cs="Adobe Arabic"/>
          <w:sz w:val="24"/>
          <w:szCs w:val="24"/>
        </w:rPr>
        <w:t>.</w:t>
      </w:r>
    </w:p>
  </w:footnote>
  <w:footnote w:id="367">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الطبرانيّ في المعجم الكبير، مصدر سابق، ح4971</w:t>
      </w:r>
      <w:r w:rsidRPr="00206D8A">
        <w:rPr>
          <w:rFonts w:ascii="Adobe Arabic" w:hAnsi="Adobe Arabic" w:cs="Adobe Arabic"/>
          <w:sz w:val="24"/>
          <w:szCs w:val="24"/>
        </w:rPr>
        <w:t>.</w:t>
      </w:r>
    </w:p>
  </w:footnote>
  <w:footnote w:id="368">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المصدر نفسه، ح2615</w:t>
      </w:r>
      <w:r w:rsidRPr="00206D8A">
        <w:rPr>
          <w:rFonts w:ascii="Adobe Arabic" w:hAnsi="Adobe Arabic" w:cs="Adobe Arabic"/>
          <w:sz w:val="24"/>
          <w:szCs w:val="24"/>
        </w:rPr>
        <w:t>.</w:t>
      </w:r>
    </w:p>
  </w:footnote>
  <w:footnote w:id="369">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رواه ابن عقدة في كتاب الولاية، مصدر سابق، من طريق سعد بن طريف، عن الأصبغ بن نباتة، عن عليّ</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tl/>
        </w:rPr>
        <w:t>، عن رسول الله (صلى الله عليه وآله)، ص159</w:t>
      </w:r>
      <w:r w:rsidRPr="00206D8A">
        <w:rPr>
          <w:rFonts w:ascii="Adobe Arabic" w:hAnsi="Adobe Arabic" w:cs="Adobe Arabic"/>
          <w:sz w:val="24"/>
          <w:szCs w:val="24"/>
        </w:rPr>
        <w:t>.</w:t>
      </w:r>
    </w:p>
  </w:footnote>
  <w:footnote w:id="370">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ابن عقدة في كتاب الولاية، مصدر سابق، ص233</w:t>
      </w:r>
      <w:r w:rsidRPr="00206D8A">
        <w:rPr>
          <w:rFonts w:ascii="Adobe Arabic" w:hAnsi="Adobe Arabic" w:cs="Adobe Arabic"/>
          <w:sz w:val="24"/>
          <w:szCs w:val="24"/>
        </w:rPr>
        <w:t>.</w:t>
      </w:r>
    </w:p>
  </w:footnote>
  <w:footnote w:id="371">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تقدّم عن الكافيّ، الشيخ الكلينيّ في الكافيّ، مصدر سابق، عن سليم بن قيس عن أمير المؤمنين</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tl/>
        </w:rPr>
        <w:t>، باب أدنى ما يكون العبد به مؤمنًا أو كافرًا أو ضالًا، ح1، ج2، ص415</w:t>
      </w:r>
      <w:r w:rsidRPr="00206D8A">
        <w:rPr>
          <w:rFonts w:ascii="Adobe Arabic" w:hAnsi="Adobe Arabic" w:cs="Adobe Arabic"/>
          <w:sz w:val="24"/>
          <w:szCs w:val="24"/>
        </w:rPr>
        <w:t>.</w:t>
      </w:r>
    </w:p>
  </w:footnote>
  <w:footnote w:id="372">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مناقب عليّ</w:t>
      </w:r>
      <w:r w:rsidRPr="00206D8A">
        <w:rPr>
          <w:rFonts w:ascii="Adobe Arabic" w:hAnsi="Adobe Arabic" w:cs="Adobe Arabic"/>
          <w:sz w:val="24"/>
          <w:szCs w:val="24"/>
        </w:rPr>
        <w:t xml:space="preserve"> </w:t>
      </w:r>
      <w:r w:rsidR="00D0776E">
        <w:rPr>
          <w:rFonts w:ascii="Adobe Arabic" w:hAnsi="Adobe Arabic" w:cs="Adobe Arabic"/>
          <w:sz w:val="24"/>
          <w:szCs w:val="24"/>
          <w:rtl/>
        </w:rPr>
        <w:t>(عليه السلام)</w:t>
      </w:r>
      <w:r w:rsidRPr="00206D8A">
        <w:rPr>
          <w:rFonts w:ascii="Adobe Arabic" w:hAnsi="Adobe Arabic" w:cs="Adobe Arabic"/>
          <w:sz w:val="24"/>
          <w:szCs w:val="24"/>
        </w:rPr>
        <w:t xml:space="preserve"> </w:t>
      </w:r>
      <w:r w:rsidRPr="00206D8A">
        <w:rPr>
          <w:rFonts w:ascii="Adobe Arabic" w:hAnsi="Adobe Arabic" w:cs="Adobe Arabic"/>
          <w:sz w:val="24"/>
          <w:szCs w:val="24"/>
          <w:rtl/>
        </w:rPr>
        <w:t>لابن المغازليّ، مصدر سابق، ح23، قوله (صلى الله عليه وآله): "مَن كنتُ مولاه فعليٌّ مولاه</w:t>
      </w:r>
      <w:r w:rsidRPr="00206D8A">
        <w:rPr>
          <w:rFonts w:ascii="Adobe Arabic" w:hAnsi="Adobe Arabic" w:cs="Adobe Arabic"/>
          <w:sz w:val="24"/>
          <w:szCs w:val="24"/>
        </w:rPr>
        <w:t>".</w:t>
      </w:r>
    </w:p>
  </w:footnote>
  <w:footnote w:id="373">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ذكره الحافظ نور الدين الهيثميّ في مجمع الزوائد، مصدر سابق، ح14963</w:t>
      </w:r>
      <w:r w:rsidRPr="00206D8A">
        <w:rPr>
          <w:rFonts w:ascii="Adobe Arabic" w:hAnsi="Adobe Arabic" w:cs="Adobe Arabic"/>
          <w:sz w:val="24"/>
          <w:szCs w:val="24"/>
        </w:rPr>
        <w:t>.</w:t>
      </w:r>
    </w:p>
  </w:footnote>
  <w:footnote w:id="374">
    <w:p w:rsidR="00306B0B" w:rsidRPr="00206D8A" w:rsidRDefault="00306B0B" w:rsidP="00206D8A">
      <w:pPr>
        <w:pStyle w:val="FootnoteText"/>
        <w:bidi/>
        <w:jc w:val="both"/>
        <w:rPr>
          <w:rFonts w:ascii="Adobe Arabic" w:hAnsi="Adobe Arabic" w:cs="Adobe Arabic"/>
          <w:sz w:val="24"/>
          <w:szCs w:val="24"/>
        </w:rPr>
      </w:pPr>
      <w:r w:rsidRPr="00206D8A">
        <w:rPr>
          <w:rStyle w:val="FootnoteReference"/>
          <w:rFonts w:ascii="Adobe Arabic" w:hAnsi="Adobe Arabic" w:cs="Adobe Arabic"/>
          <w:sz w:val="24"/>
          <w:szCs w:val="24"/>
        </w:rPr>
        <w:footnoteRef/>
      </w:r>
      <w:r w:rsidRPr="00206D8A">
        <w:rPr>
          <w:rFonts w:ascii="Adobe Arabic" w:hAnsi="Adobe Arabic" w:cs="Adobe Arabic"/>
          <w:sz w:val="24"/>
          <w:szCs w:val="24"/>
        </w:rPr>
        <w:t xml:space="preserve"> </w:t>
      </w:r>
      <w:r w:rsidRPr="00206D8A">
        <w:rPr>
          <w:rFonts w:ascii="Adobe Arabic" w:hAnsi="Adobe Arabic" w:cs="Adobe Arabic"/>
          <w:sz w:val="24"/>
          <w:szCs w:val="24"/>
          <w:rtl/>
        </w:rPr>
        <w:t>الطبرانيّ في المعجم الكبير، مصدر سابق، ح4971</w:t>
      </w:r>
      <w:r w:rsidRPr="00206D8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C88" w:rsidRPr="001609BB" w:rsidRDefault="00091C88" w:rsidP="001609BB">
    <w:pPr>
      <w:pStyle w:val="Header"/>
      <w:jc w:val="both"/>
      <w:rPr>
        <w:rFonts w:ascii="Adobe Arabic" w:hAnsi="Adobe Arabic" w:cs="Adobe Arabic"/>
        <w:b/>
        <w:bCs/>
        <w:sz w:val="32"/>
        <w:szCs w:val="32"/>
        <w:lang w:bidi="ar-LB"/>
      </w:rPr>
    </w:pPr>
    <w:sdt>
      <w:sdtPr>
        <w:rPr>
          <w:rFonts w:ascii="Adobe Arabic" w:hAnsi="Adobe Arabic" w:cs="Adobe Arabic"/>
          <w:b/>
          <w:bCs/>
          <w:sz w:val="32"/>
          <w:szCs w:val="32"/>
          <w:lang w:bidi="ar-LB"/>
        </w:rPr>
        <w:id w:val="741915721"/>
        <w:docPartObj>
          <w:docPartGallery w:val="Page Numbers (Margins)"/>
          <w:docPartUnique/>
        </w:docPartObj>
      </w:sdtPr>
      <w:sdtContent>
        <w:r w:rsidRPr="001609BB">
          <w:rPr>
            <w:rFonts w:ascii="Adobe Arabic" w:hAnsi="Adobe Arabic" w:cs="Adobe Arabic"/>
            <w:b/>
            <w:bCs/>
            <w:noProof/>
            <w:sz w:val="32"/>
            <w:szCs w:val="32"/>
          </w:rPr>
          <mc:AlternateContent>
            <mc:Choice Requires="wps">
              <w:drawing>
                <wp:anchor distT="0" distB="0" distL="114300" distR="114300" simplePos="0" relativeHeight="251659264" behindDoc="0" locked="0" layoutInCell="0" allowOverlap="1">
                  <wp:simplePos x="0" y="0"/>
                  <wp:positionH relativeFrom="leftMargin">
                    <wp:align>left</wp:align>
                  </wp:positionH>
                  <wp:positionV relativeFrom="margin">
                    <wp:align>center</wp:align>
                  </wp:positionV>
                  <wp:extent cx="727710" cy="329565"/>
                  <wp:effectExtent l="0" t="0" r="0" b="381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1C88" w:rsidRPr="001609BB" w:rsidRDefault="00091C88" w:rsidP="001609BB">
                              <w:pPr>
                                <w:pBdr>
                                  <w:bottom w:val="single" w:sz="4" w:space="1" w:color="auto"/>
                                </w:pBdr>
                                <w:jc w:val="center"/>
                                <w:rPr>
                                  <w:rFonts w:ascii="Adobe Arabic" w:hAnsi="Adobe Arabic" w:cs="Adobe Arabic"/>
                                  <w:b/>
                                  <w:bCs/>
                                  <w:sz w:val="32"/>
                                  <w:szCs w:val="32"/>
                                </w:rPr>
                              </w:pPr>
                              <w:r w:rsidRPr="001609BB">
                                <w:rPr>
                                  <w:rFonts w:ascii="Adobe Arabic" w:hAnsi="Adobe Arabic" w:cs="Adobe Arabic"/>
                                  <w:b/>
                                  <w:bCs/>
                                  <w:sz w:val="32"/>
                                  <w:szCs w:val="32"/>
                                </w:rPr>
                                <w:fldChar w:fldCharType="begin"/>
                              </w:r>
                              <w:r w:rsidRPr="001609BB">
                                <w:rPr>
                                  <w:rFonts w:ascii="Adobe Arabic" w:hAnsi="Adobe Arabic" w:cs="Adobe Arabic"/>
                                  <w:b/>
                                  <w:bCs/>
                                  <w:sz w:val="32"/>
                                  <w:szCs w:val="32"/>
                                </w:rPr>
                                <w:instrText xml:space="preserve"> PAGE   \* MERGEFORMAT </w:instrText>
                              </w:r>
                              <w:r w:rsidRPr="001609BB">
                                <w:rPr>
                                  <w:rFonts w:ascii="Adobe Arabic" w:hAnsi="Adobe Arabic" w:cs="Adobe Arabic"/>
                                  <w:b/>
                                  <w:bCs/>
                                  <w:sz w:val="32"/>
                                  <w:szCs w:val="32"/>
                                </w:rPr>
                                <w:fldChar w:fldCharType="separate"/>
                              </w:r>
                              <w:r w:rsidR="00997844">
                                <w:rPr>
                                  <w:rFonts w:ascii="Adobe Arabic" w:hAnsi="Adobe Arabic" w:cs="Adobe Arabic"/>
                                  <w:b/>
                                  <w:bCs/>
                                  <w:noProof/>
                                  <w:sz w:val="32"/>
                                  <w:szCs w:val="32"/>
                                </w:rPr>
                                <w:t>8</w:t>
                              </w:r>
                              <w:r w:rsidRPr="001609BB">
                                <w:rPr>
                                  <w:rFonts w:ascii="Adobe Arabic" w:hAnsi="Adobe Arabic" w:cs="Adobe Arabic"/>
                                  <w:b/>
                                  <w:bCs/>
                                  <w:noProof/>
                                  <w:sz w:val="32"/>
                                  <w:szCs w:val="32"/>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40" o:spid="_x0000_s1026" style="position:absolute;left:0;text-align:left;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A2gQIAAAc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CjLnA2gQIA&#10;AAcFAAAOAAAAAAAAAAAAAAAAAC4CAABkcnMvZTJvRG9jLnhtbFBLAQItABQABgAIAAAAIQBxpoaD&#10;3AAAAAQBAAAPAAAAAAAAAAAAAAAAANsEAABkcnMvZG93bnJldi54bWxQSwUGAAAAAAQABADzAAAA&#10;5AUAAAAA&#10;" o:allowincell="f" stroked="f">
                  <v:textbox>
                    <w:txbxContent>
                      <w:p w:rsidR="00091C88" w:rsidRPr="001609BB" w:rsidRDefault="00091C88" w:rsidP="001609BB">
                        <w:pPr>
                          <w:pBdr>
                            <w:bottom w:val="single" w:sz="4" w:space="1" w:color="auto"/>
                          </w:pBdr>
                          <w:jc w:val="center"/>
                          <w:rPr>
                            <w:rFonts w:ascii="Adobe Arabic" w:hAnsi="Adobe Arabic" w:cs="Adobe Arabic"/>
                            <w:b/>
                            <w:bCs/>
                            <w:sz w:val="32"/>
                            <w:szCs w:val="32"/>
                          </w:rPr>
                        </w:pPr>
                        <w:r w:rsidRPr="001609BB">
                          <w:rPr>
                            <w:rFonts w:ascii="Adobe Arabic" w:hAnsi="Adobe Arabic" w:cs="Adobe Arabic"/>
                            <w:b/>
                            <w:bCs/>
                            <w:sz w:val="32"/>
                            <w:szCs w:val="32"/>
                          </w:rPr>
                          <w:fldChar w:fldCharType="begin"/>
                        </w:r>
                        <w:r w:rsidRPr="001609BB">
                          <w:rPr>
                            <w:rFonts w:ascii="Adobe Arabic" w:hAnsi="Adobe Arabic" w:cs="Adobe Arabic"/>
                            <w:b/>
                            <w:bCs/>
                            <w:sz w:val="32"/>
                            <w:szCs w:val="32"/>
                          </w:rPr>
                          <w:instrText xml:space="preserve"> PAGE   \* MERGEFORMAT </w:instrText>
                        </w:r>
                        <w:r w:rsidRPr="001609BB">
                          <w:rPr>
                            <w:rFonts w:ascii="Adobe Arabic" w:hAnsi="Adobe Arabic" w:cs="Adobe Arabic"/>
                            <w:b/>
                            <w:bCs/>
                            <w:sz w:val="32"/>
                            <w:szCs w:val="32"/>
                          </w:rPr>
                          <w:fldChar w:fldCharType="separate"/>
                        </w:r>
                        <w:r w:rsidR="00997844">
                          <w:rPr>
                            <w:rFonts w:ascii="Adobe Arabic" w:hAnsi="Adobe Arabic" w:cs="Adobe Arabic"/>
                            <w:b/>
                            <w:bCs/>
                            <w:noProof/>
                            <w:sz w:val="32"/>
                            <w:szCs w:val="32"/>
                          </w:rPr>
                          <w:t>8</w:t>
                        </w:r>
                        <w:r w:rsidRPr="001609BB">
                          <w:rPr>
                            <w:rFonts w:ascii="Adobe Arabic" w:hAnsi="Adobe Arabic" w:cs="Adobe Arabic"/>
                            <w:b/>
                            <w:bCs/>
                            <w:noProof/>
                            <w:sz w:val="32"/>
                            <w:szCs w:val="32"/>
                          </w:rPr>
                          <w:fldChar w:fldCharType="end"/>
                        </w:r>
                      </w:p>
                    </w:txbxContent>
                  </v:textbox>
                  <w10:wrap anchorx="margin" anchory="margin"/>
                </v:rect>
              </w:pict>
            </mc:Fallback>
          </mc:AlternateContent>
        </w:r>
      </w:sdtContent>
    </w:sdt>
    <w:r w:rsidRPr="001609BB">
      <w:rPr>
        <w:rFonts w:ascii="Adobe Arabic" w:hAnsi="Adobe Arabic" w:cs="Adobe Arabic"/>
        <w:b/>
        <w:bCs/>
        <w:sz w:val="32"/>
        <w:szCs w:val="32"/>
        <w:rtl/>
        <w:lang w:bidi="ar-LB"/>
      </w:rPr>
      <w:t>علوم القرآن والتفسير</w:t>
    </w:r>
    <w:r>
      <w:rPr>
        <w:rFonts w:ascii="Adobe Arabic" w:hAnsi="Adobe Arabic" w:cs="Adobe Arabic" w:hint="cs"/>
        <w:b/>
        <w:bCs/>
        <w:sz w:val="32"/>
        <w:szCs w:val="32"/>
        <w:rtl/>
        <w:lang w:bidi="ar-LB"/>
      </w:rPr>
      <w:t xml:space="preserve">                                                                              </w:t>
    </w:r>
    <w:r w:rsidRPr="001609BB">
      <w:rPr>
        <w:rFonts w:ascii="Adobe Arabic" w:hAnsi="Adobe Arabic" w:cs="Adobe Arabic"/>
        <w:b/>
        <w:bCs/>
        <w:sz w:val="32"/>
        <w:szCs w:val="32"/>
        <w:rtl/>
        <w:lang w:bidi="ar-LB"/>
      </w:rPr>
      <w:t xml:space="preserve"> سلسلة المعارف التعليمية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C4D"/>
    <w:rsid w:val="00037E6F"/>
    <w:rsid w:val="00064ACB"/>
    <w:rsid w:val="00091C88"/>
    <w:rsid w:val="000B593B"/>
    <w:rsid w:val="000C0E72"/>
    <w:rsid w:val="000D4298"/>
    <w:rsid w:val="000E558B"/>
    <w:rsid w:val="000E726E"/>
    <w:rsid w:val="000F1DE3"/>
    <w:rsid w:val="00140DE2"/>
    <w:rsid w:val="001609BB"/>
    <w:rsid w:val="001C0560"/>
    <w:rsid w:val="001C38E3"/>
    <w:rsid w:val="00206D8A"/>
    <w:rsid w:val="002D47E9"/>
    <w:rsid w:val="00301758"/>
    <w:rsid w:val="00306B0B"/>
    <w:rsid w:val="003406E5"/>
    <w:rsid w:val="0036745E"/>
    <w:rsid w:val="003C51EE"/>
    <w:rsid w:val="003C54E0"/>
    <w:rsid w:val="003C58EA"/>
    <w:rsid w:val="004478EB"/>
    <w:rsid w:val="00465CD4"/>
    <w:rsid w:val="00486989"/>
    <w:rsid w:val="004D54AB"/>
    <w:rsid w:val="005077DC"/>
    <w:rsid w:val="00511F69"/>
    <w:rsid w:val="00516479"/>
    <w:rsid w:val="005438F3"/>
    <w:rsid w:val="005645AB"/>
    <w:rsid w:val="00576E43"/>
    <w:rsid w:val="005A5A69"/>
    <w:rsid w:val="0064226D"/>
    <w:rsid w:val="00706204"/>
    <w:rsid w:val="00712795"/>
    <w:rsid w:val="007F1B02"/>
    <w:rsid w:val="008103F8"/>
    <w:rsid w:val="00830474"/>
    <w:rsid w:val="008711A0"/>
    <w:rsid w:val="00932FF5"/>
    <w:rsid w:val="00997844"/>
    <w:rsid w:val="009C40F8"/>
    <w:rsid w:val="00A375AD"/>
    <w:rsid w:val="00A52235"/>
    <w:rsid w:val="00A7039A"/>
    <w:rsid w:val="00B23F6A"/>
    <w:rsid w:val="00B41C13"/>
    <w:rsid w:val="00B44CDE"/>
    <w:rsid w:val="00B56E7D"/>
    <w:rsid w:val="00B91DE9"/>
    <w:rsid w:val="00B91DFA"/>
    <w:rsid w:val="00BD4C4D"/>
    <w:rsid w:val="00BE5EF5"/>
    <w:rsid w:val="00C016F2"/>
    <w:rsid w:val="00C0575D"/>
    <w:rsid w:val="00C8075C"/>
    <w:rsid w:val="00C84D7B"/>
    <w:rsid w:val="00CA5543"/>
    <w:rsid w:val="00CF7297"/>
    <w:rsid w:val="00D05409"/>
    <w:rsid w:val="00D0776E"/>
    <w:rsid w:val="00D54736"/>
    <w:rsid w:val="00D71600"/>
    <w:rsid w:val="00D9186A"/>
    <w:rsid w:val="00DB0AA6"/>
    <w:rsid w:val="00DB2D06"/>
    <w:rsid w:val="00E352B4"/>
    <w:rsid w:val="00E66076"/>
    <w:rsid w:val="00E97D7A"/>
    <w:rsid w:val="00EC7C28"/>
    <w:rsid w:val="00F37D66"/>
    <w:rsid w:val="00FD1C50"/>
    <w:rsid w:val="00FE68F8"/>
    <w:rsid w:val="00FE6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A8258"/>
  <w15:chartTrackingRefBased/>
  <w15:docId w15:val="{03226E56-F47C-44BD-ACC3-1AF605E0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22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017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BD4C4D"/>
  </w:style>
  <w:style w:type="paragraph" w:customStyle="1" w:styleId="inside">
    <w:name w:val="inside"/>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BD4C4D"/>
  </w:style>
  <w:style w:type="character" w:customStyle="1" w:styleId="black">
    <w:name w:val="black"/>
    <w:basedOn w:val="DefaultParagraphFont"/>
    <w:rsid w:val="00BD4C4D"/>
  </w:style>
  <w:style w:type="character" w:customStyle="1" w:styleId="n-">
    <w:name w:val="n-"/>
    <w:basedOn w:val="DefaultParagraphFont"/>
    <w:rsid w:val="00BD4C4D"/>
  </w:style>
  <w:style w:type="paragraph" w:customStyle="1" w:styleId="basic-paragraph">
    <w:name w:val="basic-paragraph"/>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4C4D"/>
    <w:rPr>
      <w:color w:val="0000FF"/>
      <w:u w:val="single"/>
    </w:rPr>
  </w:style>
  <w:style w:type="character" w:styleId="FollowedHyperlink">
    <w:name w:val="FollowedHyperlink"/>
    <w:basedOn w:val="DefaultParagraphFont"/>
    <w:uiPriority w:val="99"/>
    <w:semiHidden/>
    <w:unhideWhenUsed/>
    <w:rsid w:val="00BD4C4D"/>
    <w:rPr>
      <w:color w:val="800080"/>
      <w:u w:val="single"/>
    </w:rPr>
  </w:style>
  <w:style w:type="character" w:customStyle="1" w:styleId="charoverride-3">
    <w:name w:val="charoverride-3"/>
    <w:basedOn w:val="DefaultParagraphFont"/>
    <w:rsid w:val="00BD4C4D"/>
  </w:style>
  <w:style w:type="paragraph" w:customStyle="1" w:styleId="--">
    <w:name w:val="العناوين-الكبيرة_الدروس_عنوان-الدرس"/>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دروس"/>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fahras">
    <w:name w:val="فهرس_n--fahras"/>
    <w:basedOn w:val="DefaultParagraphFont"/>
    <w:rsid w:val="00BD4C4D"/>
  </w:style>
  <w:style w:type="paragraph" w:customStyle="1" w:styleId="table-of-contentregular">
    <w:name w:val="table-of-content_regular"/>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DefaultParagraphFont"/>
    <w:rsid w:val="00BD4C4D"/>
  </w:style>
  <w:style w:type="character" w:customStyle="1" w:styleId="logologo-3--h-">
    <w:name w:val="logo_logo-3--h-"/>
    <w:basedOn w:val="DefaultParagraphFont"/>
    <w:rsid w:val="00BD4C4D"/>
  </w:style>
  <w:style w:type="character" w:customStyle="1" w:styleId="logologo-footnot">
    <w:name w:val="logo_logo-footnot"/>
    <w:basedOn w:val="DefaultParagraphFont"/>
    <w:rsid w:val="00BD4C4D"/>
  </w:style>
  <w:style w:type="character" w:customStyle="1" w:styleId="logocharacter-style-1">
    <w:name w:val="logo_character-style-1"/>
    <w:basedOn w:val="DefaultParagraphFont"/>
    <w:rsid w:val="00BD4C4D"/>
  </w:style>
  <w:style w:type="paragraph" w:customStyle="1" w:styleId="-">
    <w:name w:val="النص_النص-الرئيسي"/>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group-1koran">
    <w:name w:val="style-group-1_koran"/>
    <w:basedOn w:val="DefaultParagraphFont"/>
    <w:rsid w:val="00BD4C4D"/>
  </w:style>
  <w:style w:type="character" w:customStyle="1" w:styleId="logologo-s--f-">
    <w:name w:val="logo_logo-s--f-"/>
    <w:basedOn w:val="DefaultParagraphFont"/>
    <w:rsid w:val="00BD4C4D"/>
  </w:style>
  <w:style w:type="character" w:customStyle="1" w:styleId="bold">
    <w:name w:val="bold"/>
    <w:basedOn w:val="DefaultParagraphFont"/>
    <w:rsid w:val="00BD4C4D"/>
  </w:style>
  <w:style w:type="character" w:customStyle="1" w:styleId="charoverride-7">
    <w:name w:val="charoverride-7"/>
    <w:basedOn w:val="DefaultParagraphFont"/>
    <w:rsid w:val="00BD4C4D"/>
  </w:style>
  <w:style w:type="character" w:customStyle="1" w:styleId="style-group-1-">
    <w:name w:val="style-group-1_هلال-قرآني"/>
    <w:basedOn w:val="DefaultParagraphFont"/>
    <w:rsid w:val="00BD4C4D"/>
  </w:style>
  <w:style w:type="character" w:customStyle="1" w:styleId="koran">
    <w:name w:val="koran"/>
    <w:basedOn w:val="DefaultParagraphFont"/>
    <w:rsid w:val="00BD4C4D"/>
  </w:style>
  <w:style w:type="character" w:customStyle="1" w:styleId="charoverride-8">
    <w:name w:val="charoverride-8"/>
    <w:basedOn w:val="DefaultParagraphFont"/>
    <w:rsid w:val="00BD4C4D"/>
  </w:style>
  <w:style w:type="paragraph" w:customStyle="1" w:styleId="hamesh">
    <w:name w:val="النص_hamesh"/>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العناوين-الكبيرة_الدروس_رقم-الدرس"/>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عناوين-الداخل_عنوان-رئيسي"/>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n-ref">
    <w:name w:val="ftn-ref"/>
    <w:basedOn w:val="DefaultParagraphFont"/>
    <w:rsid w:val="00BD4C4D"/>
  </w:style>
  <w:style w:type="paragraph" w:customStyle="1" w:styleId="--2">
    <w:name w:val="عناوين-الداخل_عنوان-فرعي"/>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c">
    <w:name w:val="النص_abc"/>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عناوين-الداخل_bold"/>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النص_نص-مع--"/>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BD4C4D"/>
  </w:style>
  <w:style w:type="character" w:customStyle="1" w:styleId="heading-3-char">
    <w:name w:val="heading-3-char"/>
    <w:basedOn w:val="DefaultParagraphFont"/>
    <w:rsid w:val="00BD4C4D"/>
  </w:style>
  <w:style w:type="character" w:customStyle="1" w:styleId="charoverride-14">
    <w:name w:val="charoverride-14"/>
    <w:basedOn w:val="DefaultParagraphFont"/>
    <w:rsid w:val="00BD4C4D"/>
  </w:style>
  <w:style w:type="character" w:customStyle="1" w:styleId="charoverride-15">
    <w:name w:val="charoverride-15"/>
    <w:basedOn w:val="DefaultParagraphFont"/>
    <w:rsid w:val="00BD4C4D"/>
  </w:style>
  <w:style w:type="character" w:customStyle="1" w:styleId="charoverride-16">
    <w:name w:val="charoverride-16"/>
    <w:basedOn w:val="DefaultParagraphFont"/>
    <w:rsid w:val="00BD4C4D"/>
  </w:style>
  <w:style w:type="character" w:customStyle="1" w:styleId="charoverride-17">
    <w:name w:val="charoverride-17"/>
    <w:basedOn w:val="DefaultParagraphFont"/>
    <w:rsid w:val="00BD4C4D"/>
  </w:style>
  <w:style w:type="character" w:customStyle="1" w:styleId="ko-ftn">
    <w:name w:val="ko-ftn"/>
    <w:basedOn w:val="DefaultParagraphFont"/>
    <w:rsid w:val="00BD4C4D"/>
  </w:style>
  <w:style w:type="character" w:customStyle="1" w:styleId="footnote-reference">
    <w:name w:val="footnote-reference"/>
    <w:basedOn w:val="DefaultParagraphFont"/>
    <w:rsid w:val="00BD4C4D"/>
  </w:style>
  <w:style w:type="character" w:customStyle="1" w:styleId="charoverride-19">
    <w:name w:val="charoverride-19"/>
    <w:basedOn w:val="DefaultParagraphFont"/>
    <w:rsid w:val="00BD4C4D"/>
  </w:style>
  <w:style w:type="paragraph" w:customStyle="1" w:styleId="a">
    <w:name w:val="الماكيت_ترويسة"/>
    <w:basedOn w:val="Normal"/>
    <w:rsid w:val="00BD4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1">
    <w:name w:val="charoverride-21"/>
    <w:basedOn w:val="DefaultParagraphFont"/>
    <w:rsid w:val="00BD4C4D"/>
  </w:style>
  <w:style w:type="character" w:customStyle="1" w:styleId="charoverride-22">
    <w:name w:val="charoverride-22"/>
    <w:basedOn w:val="DefaultParagraphFont"/>
    <w:rsid w:val="00BD4C4D"/>
  </w:style>
  <w:style w:type="paragraph" w:styleId="Header">
    <w:name w:val="header"/>
    <w:basedOn w:val="Normal"/>
    <w:link w:val="HeaderChar"/>
    <w:uiPriority w:val="99"/>
    <w:unhideWhenUsed/>
    <w:rsid w:val="001609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609BB"/>
  </w:style>
  <w:style w:type="paragraph" w:styleId="Footer">
    <w:name w:val="footer"/>
    <w:basedOn w:val="Normal"/>
    <w:link w:val="FooterChar"/>
    <w:uiPriority w:val="99"/>
    <w:unhideWhenUsed/>
    <w:rsid w:val="001609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09BB"/>
  </w:style>
  <w:style w:type="character" w:customStyle="1" w:styleId="Heading1Char">
    <w:name w:val="Heading 1 Char"/>
    <w:basedOn w:val="DefaultParagraphFont"/>
    <w:link w:val="Heading1"/>
    <w:uiPriority w:val="9"/>
    <w:rsid w:val="0064226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0175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E5EF5"/>
    <w:pPr>
      <w:outlineLvl w:val="9"/>
    </w:pPr>
  </w:style>
  <w:style w:type="paragraph" w:styleId="TOC1">
    <w:name w:val="toc 1"/>
    <w:basedOn w:val="Normal"/>
    <w:next w:val="Normal"/>
    <w:autoRedefine/>
    <w:uiPriority w:val="39"/>
    <w:unhideWhenUsed/>
    <w:rsid w:val="005645AB"/>
    <w:pPr>
      <w:tabs>
        <w:tab w:val="right" w:leader="dot" w:pos="8630"/>
      </w:tabs>
      <w:bidi/>
      <w:spacing w:after="100"/>
      <w:jc w:val="both"/>
    </w:pPr>
    <w:rPr>
      <w:rFonts w:ascii="Adobe Arabic" w:eastAsia="Times New Roman" w:hAnsi="Adobe Arabic" w:cs="Adobe Arabic"/>
      <w:b/>
      <w:bCs/>
      <w:noProof/>
      <w:color w:val="538135" w:themeColor="accent6" w:themeShade="BF"/>
      <w:sz w:val="36"/>
      <w:szCs w:val="36"/>
    </w:rPr>
  </w:style>
  <w:style w:type="paragraph" w:styleId="TOC2">
    <w:name w:val="toc 2"/>
    <w:basedOn w:val="Normal"/>
    <w:next w:val="Normal"/>
    <w:autoRedefine/>
    <w:uiPriority w:val="39"/>
    <w:unhideWhenUsed/>
    <w:rsid w:val="00C8075C"/>
    <w:pPr>
      <w:tabs>
        <w:tab w:val="right" w:leader="dot" w:pos="8630"/>
      </w:tabs>
      <w:bidi/>
      <w:spacing w:after="100"/>
      <w:ind w:left="220"/>
      <w:jc w:val="both"/>
    </w:pPr>
    <w:rPr>
      <w:rFonts w:ascii="Adobe Arabic" w:eastAsia="Times New Roman" w:hAnsi="Adobe Arabic" w:cs="Adobe Arabic"/>
      <w:b/>
      <w:bCs/>
      <w:noProof/>
      <w:sz w:val="28"/>
      <w:szCs w:val="28"/>
    </w:rPr>
  </w:style>
  <w:style w:type="paragraph" w:styleId="FootnoteText">
    <w:name w:val="footnote text"/>
    <w:basedOn w:val="Normal"/>
    <w:link w:val="FootnoteTextChar"/>
    <w:uiPriority w:val="99"/>
    <w:semiHidden/>
    <w:unhideWhenUsed/>
    <w:rsid w:val="00B91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DFA"/>
    <w:rPr>
      <w:sz w:val="20"/>
      <w:szCs w:val="20"/>
    </w:rPr>
  </w:style>
  <w:style w:type="character" w:styleId="FootnoteReference">
    <w:name w:val="footnote reference"/>
    <w:basedOn w:val="DefaultParagraphFont"/>
    <w:uiPriority w:val="99"/>
    <w:semiHidden/>
    <w:unhideWhenUsed/>
    <w:rsid w:val="00B91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852035">
      <w:bodyDiv w:val="1"/>
      <w:marLeft w:val="0"/>
      <w:marRight w:val="0"/>
      <w:marTop w:val="0"/>
      <w:marBottom w:val="0"/>
      <w:divBdr>
        <w:top w:val="none" w:sz="0" w:space="0" w:color="auto"/>
        <w:left w:val="none" w:sz="0" w:space="0" w:color="auto"/>
        <w:bottom w:val="none" w:sz="0" w:space="0" w:color="auto"/>
        <w:right w:val="none" w:sz="0" w:space="0" w:color="auto"/>
      </w:divBdr>
      <w:divsChild>
        <w:div w:id="883951148">
          <w:marLeft w:val="0"/>
          <w:marRight w:val="0"/>
          <w:marTop w:val="0"/>
          <w:marBottom w:val="0"/>
          <w:divBdr>
            <w:top w:val="none" w:sz="0" w:space="0" w:color="auto"/>
            <w:left w:val="none" w:sz="0" w:space="0" w:color="auto"/>
            <w:bottom w:val="none" w:sz="0" w:space="0" w:color="auto"/>
            <w:right w:val="none" w:sz="0" w:space="0" w:color="auto"/>
          </w:divBdr>
          <w:divsChild>
            <w:div w:id="1755738091">
              <w:marLeft w:val="0"/>
              <w:marRight w:val="0"/>
              <w:marTop w:val="0"/>
              <w:marBottom w:val="0"/>
              <w:divBdr>
                <w:top w:val="none" w:sz="0" w:space="0" w:color="auto"/>
                <w:left w:val="none" w:sz="0" w:space="0" w:color="auto"/>
                <w:bottom w:val="none" w:sz="0" w:space="0" w:color="auto"/>
                <w:right w:val="none" w:sz="0" w:space="0" w:color="auto"/>
              </w:divBdr>
            </w:div>
          </w:divsChild>
        </w:div>
        <w:div w:id="1328899065">
          <w:marLeft w:val="0"/>
          <w:marRight w:val="0"/>
          <w:marTop w:val="0"/>
          <w:marBottom w:val="0"/>
          <w:divBdr>
            <w:top w:val="none" w:sz="0" w:space="0" w:color="auto"/>
            <w:left w:val="none" w:sz="0" w:space="0" w:color="auto"/>
            <w:bottom w:val="none" w:sz="0" w:space="0" w:color="auto"/>
            <w:right w:val="none" w:sz="0" w:space="0" w:color="auto"/>
          </w:divBdr>
        </w:div>
        <w:div w:id="333001013">
          <w:marLeft w:val="0"/>
          <w:marRight w:val="0"/>
          <w:marTop w:val="0"/>
          <w:marBottom w:val="0"/>
          <w:divBdr>
            <w:top w:val="none" w:sz="0" w:space="0" w:color="auto"/>
            <w:left w:val="none" w:sz="0" w:space="0" w:color="auto"/>
            <w:bottom w:val="none" w:sz="0" w:space="0" w:color="auto"/>
            <w:right w:val="none" w:sz="0" w:space="0" w:color="auto"/>
          </w:divBdr>
          <w:divsChild>
            <w:div w:id="1672413445">
              <w:marLeft w:val="0"/>
              <w:marRight w:val="0"/>
              <w:marTop w:val="0"/>
              <w:marBottom w:val="0"/>
              <w:divBdr>
                <w:top w:val="none" w:sz="0" w:space="0" w:color="auto"/>
                <w:left w:val="none" w:sz="0" w:space="0" w:color="auto"/>
                <w:bottom w:val="none" w:sz="0" w:space="0" w:color="auto"/>
                <w:right w:val="none" w:sz="0" w:space="0" w:color="auto"/>
              </w:divBdr>
            </w:div>
          </w:divsChild>
        </w:div>
        <w:div w:id="167448296">
          <w:marLeft w:val="0"/>
          <w:marRight w:val="0"/>
          <w:marTop w:val="0"/>
          <w:marBottom w:val="0"/>
          <w:divBdr>
            <w:top w:val="none" w:sz="0" w:space="0" w:color="auto"/>
            <w:left w:val="none" w:sz="0" w:space="0" w:color="auto"/>
            <w:bottom w:val="none" w:sz="0" w:space="0" w:color="auto"/>
            <w:right w:val="none" w:sz="0" w:space="0" w:color="auto"/>
          </w:divBdr>
        </w:div>
        <w:div w:id="1354725976">
          <w:marLeft w:val="0"/>
          <w:marRight w:val="0"/>
          <w:marTop w:val="0"/>
          <w:marBottom w:val="0"/>
          <w:divBdr>
            <w:top w:val="none" w:sz="0" w:space="0" w:color="auto"/>
            <w:left w:val="none" w:sz="0" w:space="0" w:color="auto"/>
            <w:bottom w:val="none" w:sz="0" w:space="0" w:color="auto"/>
            <w:right w:val="none" w:sz="0" w:space="0" w:color="auto"/>
          </w:divBdr>
          <w:divsChild>
            <w:div w:id="1849325568">
              <w:marLeft w:val="0"/>
              <w:marRight w:val="0"/>
              <w:marTop w:val="0"/>
              <w:marBottom w:val="0"/>
              <w:divBdr>
                <w:top w:val="none" w:sz="0" w:space="0" w:color="auto"/>
                <w:left w:val="none" w:sz="0" w:space="0" w:color="auto"/>
                <w:bottom w:val="none" w:sz="0" w:space="0" w:color="auto"/>
                <w:right w:val="none" w:sz="0" w:space="0" w:color="auto"/>
              </w:divBdr>
            </w:div>
          </w:divsChild>
        </w:div>
        <w:div w:id="1092630703">
          <w:marLeft w:val="0"/>
          <w:marRight w:val="0"/>
          <w:marTop w:val="0"/>
          <w:marBottom w:val="0"/>
          <w:divBdr>
            <w:top w:val="none" w:sz="0" w:space="0" w:color="auto"/>
            <w:left w:val="none" w:sz="0" w:space="0" w:color="auto"/>
            <w:bottom w:val="none" w:sz="0" w:space="0" w:color="auto"/>
            <w:right w:val="none" w:sz="0" w:space="0" w:color="auto"/>
          </w:divBdr>
        </w:div>
        <w:div w:id="1580097538">
          <w:marLeft w:val="0"/>
          <w:marRight w:val="0"/>
          <w:marTop w:val="0"/>
          <w:marBottom w:val="0"/>
          <w:divBdr>
            <w:top w:val="none" w:sz="0" w:space="0" w:color="auto"/>
            <w:left w:val="none" w:sz="0" w:space="0" w:color="auto"/>
            <w:bottom w:val="none" w:sz="0" w:space="0" w:color="auto"/>
            <w:right w:val="none" w:sz="0" w:space="0" w:color="auto"/>
          </w:divBdr>
          <w:divsChild>
            <w:div w:id="413354515">
              <w:marLeft w:val="0"/>
              <w:marRight w:val="0"/>
              <w:marTop w:val="0"/>
              <w:marBottom w:val="0"/>
              <w:divBdr>
                <w:top w:val="none" w:sz="0" w:space="0" w:color="auto"/>
                <w:left w:val="none" w:sz="0" w:space="0" w:color="auto"/>
                <w:bottom w:val="none" w:sz="0" w:space="0" w:color="auto"/>
                <w:right w:val="none" w:sz="0" w:space="0" w:color="auto"/>
              </w:divBdr>
            </w:div>
          </w:divsChild>
        </w:div>
        <w:div w:id="1153452995">
          <w:marLeft w:val="0"/>
          <w:marRight w:val="0"/>
          <w:marTop w:val="0"/>
          <w:marBottom w:val="0"/>
          <w:divBdr>
            <w:top w:val="none" w:sz="0" w:space="0" w:color="auto"/>
            <w:left w:val="none" w:sz="0" w:space="0" w:color="auto"/>
            <w:bottom w:val="none" w:sz="0" w:space="0" w:color="auto"/>
            <w:right w:val="none" w:sz="0" w:space="0" w:color="auto"/>
          </w:divBdr>
        </w:div>
        <w:div w:id="222253975">
          <w:marLeft w:val="0"/>
          <w:marRight w:val="0"/>
          <w:marTop w:val="0"/>
          <w:marBottom w:val="0"/>
          <w:divBdr>
            <w:top w:val="none" w:sz="0" w:space="0" w:color="auto"/>
            <w:left w:val="none" w:sz="0" w:space="0" w:color="auto"/>
            <w:bottom w:val="none" w:sz="0" w:space="0" w:color="auto"/>
            <w:right w:val="none" w:sz="0" w:space="0" w:color="auto"/>
          </w:divBdr>
          <w:divsChild>
            <w:div w:id="1259217646">
              <w:marLeft w:val="0"/>
              <w:marRight w:val="0"/>
              <w:marTop w:val="0"/>
              <w:marBottom w:val="0"/>
              <w:divBdr>
                <w:top w:val="none" w:sz="0" w:space="0" w:color="auto"/>
                <w:left w:val="none" w:sz="0" w:space="0" w:color="auto"/>
                <w:bottom w:val="none" w:sz="0" w:space="0" w:color="auto"/>
                <w:right w:val="none" w:sz="0" w:space="0" w:color="auto"/>
              </w:divBdr>
              <w:divsChild>
                <w:div w:id="581721602">
                  <w:marLeft w:val="0"/>
                  <w:marRight w:val="0"/>
                  <w:marTop w:val="0"/>
                  <w:marBottom w:val="0"/>
                  <w:divBdr>
                    <w:top w:val="none" w:sz="0" w:space="0" w:color="auto"/>
                    <w:left w:val="none" w:sz="0" w:space="0" w:color="auto"/>
                    <w:bottom w:val="none" w:sz="0" w:space="0" w:color="auto"/>
                    <w:right w:val="none" w:sz="0" w:space="0" w:color="auto"/>
                  </w:divBdr>
                </w:div>
                <w:div w:id="498734666">
                  <w:marLeft w:val="0"/>
                  <w:marRight w:val="0"/>
                  <w:marTop w:val="0"/>
                  <w:marBottom w:val="0"/>
                  <w:divBdr>
                    <w:top w:val="none" w:sz="0" w:space="0" w:color="auto"/>
                    <w:left w:val="none" w:sz="0" w:space="0" w:color="auto"/>
                    <w:bottom w:val="none" w:sz="0" w:space="0" w:color="auto"/>
                    <w:right w:val="none" w:sz="0" w:space="0" w:color="auto"/>
                  </w:divBdr>
                </w:div>
                <w:div w:id="584804834">
                  <w:marLeft w:val="0"/>
                  <w:marRight w:val="0"/>
                  <w:marTop w:val="0"/>
                  <w:marBottom w:val="0"/>
                  <w:divBdr>
                    <w:top w:val="none" w:sz="0" w:space="0" w:color="auto"/>
                    <w:left w:val="none" w:sz="0" w:space="0" w:color="auto"/>
                    <w:bottom w:val="none" w:sz="0" w:space="0" w:color="auto"/>
                    <w:right w:val="none" w:sz="0" w:space="0" w:color="auto"/>
                  </w:divBdr>
                </w:div>
                <w:div w:id="8489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2576">
          <w:marLeft w:val="0"/>
          <w:marRight w:val="0"/>
          <w:marTop w:val="0"/>
          <w:marBottom w:val="0"/>
          <w:divBdr>
            <w:top w:val="none" w:sz="0" w:space="0" w:color="auto"/>
            <w:left w:val="none" w:sz="0" w:space="0" w:color="auto"/>
            <w:bottom w:val="none" w:sz="0" w:space="0" w:color="auto"/>
            <w:right w:val="none" w:sz="0" w:space="0" w:color="auto"/>
          </w:divBdr>
          <w:divsChild>
            <w:div w:id="316308408">
              <w:marLeft w:val="0"/>
              <w:marRight w:val="0"/>
              <w:marTop w:val="0"/>
              <w:marBottom w:val="0"/>
              <w:divBdr>
                <w:top w:val="none" w:sz="0" w:space="0" w:color="auto"/>
                <w:left w:val="none" w:sz="0" w:space="0" w:color="auto"/>
                <w:bottom w:val="none" w:sz="0" w:space="0" w:color="auto"/>
                <w:right w:val="none" w:sz="0" w:space="0" w:color="auto"/>
              </w:divBdr>
              <w:divsChild>
                <w:div w:id="1551722147">
                  <w:marLeft w:val="0"/>
                  <w:marRight w:val="0"/>
                  <w:marTop w:val="0"/>
                  <w:marBottom w:val="0"/>
                  <w:divBdr>
                    <w:top w:val="none" w:sz="0" w:space="0" w:color="auto"/>
                    <w:left w:val="none" w:sz="0" w:space="0" w:color="auto"/>
                    <w:bottom w:val="none" w:sz="0" w:space="0" w:color="auto"/>
                    <w:right w:val="none" w:sz="0" w:space="0" w:color="auto"/>
                  </w:divBdr>
                </w:div>
                <w:div w:id="805050486">
                  <w:marLeft w:val="0"/>
                  <w:marRight w:val="0"/>
                  <w:marTop w:val="0"/>
                  <w:marBottom w:val="0"/>
                  <w:divBdr>
                    <w:top w:val="none" w:sz="0" w:space="0" w:color="auto"/>
                    <w:left w:val="none" w:sz="0" w:space="0" w:color="auto"/>
                    <w:bottom w:val="none" w:sz="0" w:space="0" w:color="auto"/>
                    <w:right w:val="none" w:sz="0" w:space="0" w:color="auto"/>
                  </w:divBdr>
                </w:div>
                <w:div w:id="1881163286">
                  <w:marLeft w:val="0"/>
                  <w:marRight w:val="0"/>
                  <w:marTop w:val="0"/>
                  <w:marBottom w:val="0"/>
                  <w:divBdr>
                    <w:top w:val="none" w:sz="0" w:space="0" w:color="auto"/>
                    <w:left w:val="none" w:sz="0" w:space="0" w:color="auto"/>
                    <w:bottom w:val="none" w:sz="0" w:space="0" w:color="auto"/>
                    <w:right w:val="none" w:sz="0" w:space="0" w:color="auto"/>
                  </w:divBdr>
                </w:div>
                <w:div w:id="1274556150">
                  <w:marLeft w:val="0"/>
                  <w:marRight w:val="0"/>
                  <w:marTop w:val="0"/>
                  <w:marBottom w:val="0"/>
                  <w:divBdr>
                    <w:top w:val="none" w:sz="0" w:space="0" w:color="auto"/>
                    <w:left w:val="none" w:sz="0" w:space="0" w:color="auto"/>
                    <w:bottom w:val="none" w:sz="0" w:space="0" w:color="auto"/>
                    <w:right w:val="none" w:sz="0" w:space="0" w:color="auto"/>
                  </w:divBdr>
                </w:div>
                <w:div w:id="890463990">
                  <w:marLeft w:val="0"/>
                  <w:marRight w:val="0"/>
                  <w:marTop w:val="0"/>
                  <w:marBottom w:val="0"/>
                  <w:divBdr>
                    <w:top w:val="none" w:sz="0" w:space="0" w:color="auto"/>
                    <w:left w:val="none" w:sz="0" w:space="0" w:color="auto"/>
                    <w:bottom w:val="none" w:sz="0" w:space="0" w:color="auto"/>
                    <w:right w:val="none" w:sz="0" w:space="0" w:color="auto"/>
                  </w:divBdr>
                </w:div>
                <w:div w:id="118575010">
                  <w:marLeft w:val="0"/>
                  <w:marRight w:val="0"/>
                  <w:marTop w:val="0"/>
                  <w:marBottom w:val="0"/>
                  <w:divBdr>
                    <w:top w:val="none" w:sz="0" w:space="0" w:color="auto"/>
                    <w:left w:val="none" w:sz="0" w:space="0" w:color="auto"/>
                    <w:bottom w:val="none" w:sz="0" w:space="0" w:color="auto"/>
                    <w:right w:val="none" w:sz="0" w:space="0" w:color="auto"/>
                  </w:divBdr>
                </w:div>
                <w:div w:id="527377826">
                  <w:marLeft w:val="0"/>
                  <w:marRight w:val="0"/>
                  <w:marTop w:val="0"/>
                  <w:marBottom w:val="0"/>
                  <w:divBdr>
                    <w:top w:val="none" w:sz="0" w:space="0" w:color="auto"/>
                    <w:left w:val="none" w:sz="0" w:space="0" w:color="auto"/>
                    <w:bottom w:val="none" w:sz="0" w:space="0" w:color="auto"/>
                    <w:right w:val="none" w:sz="0" w:space="0" w:color="auto"/>
                  </w:divBdr>
                </w:div>
                <w:div w:id="1328556577">
                  <w:marLeft w:val="0"/>
                  <w:marRight w:val="0"/>
                  <w:marTop w:val="0"/>
                  <w:marBottom w:val="0"/>
                  <w:divBdr>
                    <w:top w:val="none" w:sz="0" w:space="0" w:color="auto"/>
                    <w:left w:val="none" w:sz="0" w:space="0" w:color="auto"/>
                    <w:bottom w:val="none" w:sz="0" w:space="0" w:color="auto"/>
                    <w:right w:val="none" w:sz="0" w:space="0" w:color="auto"/>
                  </w:divBdr>
                </w:div>
                <w:div w:id="1400635458">
                  <w:marLeft w:val="0"/>
                  <w:marRight w:val="0"/>
                  <w:marTop w:val="0"/>
                  <w:marBottom w:val="0"/>
                  <w:divBdr>
                    <w:top w:val="none" w:sz="0" w:space="0" w:color="auto"/>
                    <w:left w:val="none" w:sz="0" w:space="0" w:color="auto"/>
                    <w:bottom w:val="none" w:sz="0" w:space="0" w:color="auto"/>
                    <w:right w:val="none" w:sz="0" w:space="0" w:color="auto"/>
                  </w:divBdr>
                </w:div>
                <w:div w:id="1698892180">
                  <w:marLeft w:val="0"/>
                  <w:marRight w:val="0"/>
                  <w:marTop w:val="0"/>
                  <w:marBottom w:val="0"/>
                  <w:divBdr>
                    <w:top w:val="none" w:sz="0" w:space="0" w:color="auto"/>
                    <w:left w:val="none" w:sz="0" w:space="0" w:color="auto"/>
                    <w:bottom w:val="none" w:sz="0" w:space="0" w:color="auto"/>
                    <w:right w:val="none" w:sz="0" w:space="0" w:color="auto"/>
                  </w:divBdr>
                </w:div>
                <w:div w:id="2041392419">
                  <w:marLeft w:val="0"/>
                  <w:marRight w:val="0"/>
                  <w:marTop w:val="0"/>
                  <w:marBottom w:val="0"/>
                  <w:divBdr>
                    <w:top w:val="none" w:sz="0" w:space="0" w:color="auto"/>
                    <w:left w:val="none" w:sz="0" w:space="0" w:color="auto"/>
                    <w:bottom w:val="none" w:sz="0" w:space="0" w:color="auto"/>
                    <w:right w:val="none" w:sz="0" w:space="0" w:color="auto"/>
                  </w:divBdr>
                </w:div>
                <w:div w:id="803044937">
                  <w:marLeft w:val="0"/>
                  <w:marRight w:val="0"/>
                  <w:marTop w:val="0"/>
                  <w:marBottom w:val="0"/>
                  <w:divBdr>
                    <w:top w:val="none" w:sz="0" w:space="0" w:color="auto"/>
                    <w:left w:val="none" w:sz="0" w:space="0" w:color="auto"/>
                    <w:bottom w:val="none" w:sz="0" w:space="0" w:color="auto"/>
                    <w:right w:val="none" w:sz="0" w:space="0" w:color="auto"/>
                  </w:divBdr>
                </w:div>
                <w:div w:id="1870489200">
                  <w:marLeft w:val="0"/>
                  <w:marRight w:val="0"/>
                  <w:marTop w:val="0"/>
                  <w:marBottom w:val="0"/>
                  <w:divBdr>
                    <w:top w:val="none" w:sz="0" w:space="0" w:color="auto"/>
                    <w:left w:val="none" w:sz="0" w:space="0" w:color="auto"/>
                    <w:bottom w:val="none" w:sz="0" w:space="0" w:color="auto"/>
                    <w:right w:val="none" w:sz="0" w:space="0" w:color="auto"/>
                  </w:divBdr>
                </w:div>
                <w:div w:id="2050763732">
                  <w:marLeft w:val="0"/>
                  <w:marRight w:val="0"/>
                  <w:marTop w:val="0"/>
                  <w:marBottom w:val="0"/>
                  <w:divBdr>
                    <w:top w:val="none" w:sz="0" w:space="0" w:color="auto"/>
                    <w:left w:val="none" w:sz="0" w:space="0" w:color="auto"/>
                    <w:bottom w:val="none" w:sz="0" w:space="0" w:color="auto"/>
                    <w:right w:val="none" w:sz="0" w:space="0" w:color="auto"/>
                  </w:divBdr>
                </w:div>
                <w:div w:id="1745371097">
                  <w:marLeft w:val="0"/>
                  <w:marRight w:val="0"/>
                  <w:marTop w:val="0"/>
                  <w:marBottom w:val="0"/>
                  <w:divBdr>
                    <w:top w:val="none" w:sz="0" w:space="0" w:color="auto"/>
                    <w:left w:val="none" w:sz="0" w:space="0" w:color="auto"/>
                    <w:bottom w:val="none" w:sz="0" w:space="0" w:color="auto"/>
                    <w:right w:val="none" w:sz="0" w:space="0" w:color="auto"/>
                  </w:divBdr>
                </w:div>
                <w:div w:id="320275735">
                  <w:marLeft w:val="0"/>
                  <w:marRight w:val="0"/>
                  <w:marTop w:val="0"/>
                  <w:marBottom w:val="0"/>
                  <w:divBdr>
                    <w:top w:val="none" w:sz="0" w:space="0" w:color="auto"/>
                    <w:left w:val="none" w:sz="0" w:space="0" w:color="auto"/>
                    <w:bottom w:val="none" w:sz="0" w:space="0" w:color="auto"/>
                    <w:right w:val="none" w:sz="0" w:space="0" w:color="auto"/>
                  </w:divBdr>
                </w:div>
                <w:div w:id="1556619196">
                  <w:marLeft w:val="0"/>
                  <w:marRight w:val="0"/>
                  <w:marTop w:val="0"/>
                  <w:marBottom w:val="0"/>
                  <w:divBdr>
                    <w:top w:val="none" w:sz="0" w:space="0" w:color="auto"/>
                    <w:left w:val="none" w:sz="0" w:space="0" w:color="auto"/>
                    <w:bottom w:val="none" w:sz="0" w:space="0" w:color="auto"/>
                    <w:right w:val="none" w:sz="0" w:space="0" w:color="auto"/>
                  </w:divBdr>
                </w:div>
                <w:div w:id="293292339">
                  <w:marLeft w:val="0"/>
                  <w:marRight w:val="0"/>
                  <w:marTop w:val="0"/>
                  <w:marBottom w:val="0"/>
                  <w:divBdr>
                    <w:top w:val="none" w:sz="0" w:space="0" w:color="auto"/>
                    <w:left w:val="none" w:sz="0" w:space="0" w:color="auto"/>
                    <w:bottom w:val="none" w:sz="0" w:space="0" w:color="auto"/>
                    <w:right w:val="none" w:sz="0" w:space="0" w:color="auto"/>
                  </w:divBdr>
                </w:div>
                <w:div w:id="1063412980">
                  <w:marLeft w:val="0"/>
                  <w:marRight w:val="0"/>
                  <w:marTop w:val="0"/>
                  <w:marBottom w:val="0"/>
                  <w:divBdr>
                    <w:top w:val="none" w:sz="0" w:space="0" w:color="auto"/>
                    <w:left w:val="none" w:sz="0" w:space="0" w:color="auto"/>
                    <w:bottom w:val="none" w:sz="0" w:space="0" w:color="auto"/>
                    <w:right w:val="none" w:sz="0" w:space="0" w:color="auto"/>
                  </w:divBdr>
                </w:div>
                <w:div w:id="122621733">
                  <w:marLeft w:val="0"/>
                  <w:marRight w:val="0"/>
                  <w:marTop w:val="0"/>
                  <w:marBottom w:val="0"/>
                  <w:divBdr>
                    <w:top w:val="none" w:sz="0" w:space="0" w:color="auto"/>
                    <w:left w:val="none" w:sz="0" w:space="0" w:color="auto"/>
                    <w:bottom w:val="none" w:sz="0" w:space="0" w:color="auto"/>
                    <w:right w:val="none" w:sz="0" w:space="0" w:color="auto"/>
                  </w:divBdr>
                </w:div>
                <w:div w:id="5795283">
                  <w:marLeft w:val="0"/>
                  <w:marRight w:val="0"/>
                  <w:marTop w:val="0"/>
                  <w:marBottom w:val="0"/>
                  <w:divBdr>
                    <w:top w:val="none" w:sz="0" w:space="0" w:color="auto"/>
                    <w:left w:val="none" w:sz="0" w:space="0" w:color="auto"/>
                    <w:bottom w:val="none" w:sz="0" w:space="0" w:color="auto"/>
                    <w:right w:val="none" w:sz="0" w:space="0" w:color="auto"/>
                  </w:divBdr>
                </w:div>
                <w:div w:id="1390543096">
                  <w:marLeft w:val="0"/>
                  <w:marRight w:val="0"/>
                  <w:marTop w:val="0"/>
                  <w:marBottom w:val="0"/>
                  <w:divBdr>
                    <w:top w:val="none" w:sz="0" w:space="0" w:color="auto"/>
                    <w:left w:val="none" w:sz="0" w:space="0" w:color="auto"/>
                    <w:bottom w:val="none" w:sz="0" w:space="0" w:color="auto"/>
                    <w:right w:val="none" w:sz="0" w:space="0" w:color="auto"/>
                  </w:divBdr>
                </w:div>
                <w:div w:id="672496213">
                  <w:marLeft w:val="0"/>
                  <w:marRight w:val="0"/>
                  <w:marTop w:val="0"/>
                  <w:marBottom w:val="0"/>
                  <w:divBdr>
                    <w:top w:val="none" w:sz="0" w:space="0" w:color="auto"/>
                    <w:left w:val="none" w:sz="0" w:space="0" w:color="auto"/>
                    <w:bottom w:val="none" w:sz="0" w:space="0" w:color="auto"/>
                    <w:right w:val="none" w:sz="0" w:space="0" w:color="auto"/>
                  </w:divBdr>
                </w:div>
                <w:div w:id="1127553224">
                  <w:marLeft w:val="0"/>
                  <w:marRight w:val="0"/>
                  <w:marTop w:val="0"/>
                  <w:marBottom w:val="0"/>
                  <w:divBdr>
                    <w:top w:val="none" w:sz="0" w:space="0" w:color="auto"/>
                    <w:left w:val="none" w:sz="0" w:space="0" w:color="auto"/>
                    <w:bottom w:val="none" w:sz="0" w:space="0" w:color="auto"/>
                    <w:right w:val="none" w:sz="0" w:space="0" w:color="auto"/>
                  </w:divBdr>
                </w:div>
                <w:div w:id="773869370">
                  <w:marLeft w:val="0"/>
                  <w:marRight w:val="0"/>
                  <w:marTop w:val="0"/>
                  <w:marBottom w:val="0"/>
                  <w:divBdr>
                    <w:top w:val="none" w:sz="0" w:space="0" w:color="auto"/>
                    <w:left w:val="none" w:sz="0" w:space="0" w:color="auto"/>
                    <w:bottom w:val="none" w:sz="0" w:space="0" w:color="auto"/>
                    <w:right w:val="none" w:sz="0" w:space="0" w:color="auto"/>
                  </w:divBdr>
                </w:div>
                <w:div w:id="98567485">
                  <w:marLeft w:val="0"/>
                  <w:marRight w:val="0"/>
                  <w:marTop w:val="0"/>
                  <w:marBottom w:val="0"/>
                  <w:divBdr>
                    <w:top w:val="none" w:sz="0" w:space="0" w:color="auto"/>
                    <w:left w:val="none" w:sz="0" w:space="0" w:color="auto"/>
                    <w:bottom w:val="none" w:sz="0" w:space="0" w:color="auto"/>
                    <w:right w:val="none" w:sz="0" w:space="0" w:color="auto"/>
                  </w:divBdr>
                </w:div>
                <w:div w:id="40567809">
                  <w:marLeft w:val="0"/>
                  <w:marRight w:val="0"/>
                  <w:marTop w:val="0"/>
                  <w:marBottom w:val="0"/>
                  <w:divBdr>
                    <w:top w:val="none" w:sz="0" w:space="0" w:color="auto"/>
                    <w:left w:val="none" w:sz="0" w:space="0" w:color="auto"/>
                    <w:bottom w:val="none" w:sz="0" w:space="0" w:color="auto"/>
                    <w:right w:val="none" w:sz="0" w:space="0" w:color="auto"/>
                  </w:divBdr>
                </w:div>
                <w:div w:id="744259289">
                  <w:marLeft w:val="0"/>
                  <w:marRight w:val="0"/>
                  <w:marTop w:val="0"/>
                  <w:marBottom w:val="0"/>
                  <w:divBdr>
                    <w:top w:val="none" w:sz="0" w:space="0" w:color="auto"/>
                    <w:left w:val="none" w:sz="0" w:space="0" w:color="auto"/>
                    <w:bottom w:val="none" w:sz="0" w:space="0" w:color="auto"/>
                    <w:right w:val="none" w:sz="0" w:space="0" w:color="auto"/>
                  </w:divBdr>
                </w:div>
                <w:div w:id="1914044571">
                  <w:marLeft w:val="0"/>
                  <w:marRight w:val="0"/>
                  <w:marTop w:val="0"/>
                  <w:marBottom w:val="0"/>
                  <w:divBdr>
                    <w:top w:val="none" w:sz="0" w:space="0" w:color="auto"/>
                    <w:left w:val="none" w:sz="0" w:space="0" w:color="auto"/>
                    <w:bottom w:val="none" w:sz="0" w:space="0" w:color="auto"/>
                    <w:right w:val="none" w:sz="0" w:space="0" w:color="auto"/>
                  </w:divBdr>
                </w:div>
                <w:div w:id="1046760076">
                  <w:marLeft w:val="0"/>
                  <w:marRight w:val="0"/>
                  <w:marTop w:val="0"/>
                  <w:marBottom w:val="0"/>
                  <w:divBdr>
                    <w:top w:val="none" w:sz="0" w:space="0" w:color="auto"/>
                    <w:left w:val="none" w:sz="0" w:space="0" w:color="auto"/>
                    <w:bottom w:val="none" w:sz="0" w:space="0" w:color="auto"/>
                    <w:right w:val="none" w:sz="0" w:space="0" w:color="auto"/>
                  </w:divBdr>
                </w:div>
                <w:div w:id="2129615230">
                  <w:marLeft w:val="0"/>
                  <w:marRight w:val="0"/>
                  <w:marTop w:val="0"/>
                  <w:marBottom w:val="0"/>
                  <w:divBdr>
                    <w:top w:val="none" w:sz="0" w:space="0" w:color="auto"/>
                    <w:left w:val="none" w:sz="0" w:space="0" w:color="auto"/>
                    <w:bottom w:val="none" w:sz="0" w:space="0" w:color="auto"/>
                    <w:right w:val="none" w:sz="0" w:space="0" w:color="auto"/>
                  </w:divBdr>
                </w:div>
                <w:div w:id="1286428102">
                  <w:marLeft w:val="0"/>
                  <w:marRight w:val="0"/>
                  <w:marTop w:val="0"/>
                  <w:marBottom w:val="0"/>
                  <w:divBdr>
                    <w:top w:val="none" w:sz="0" w:space="0" w:color="auto"/>
                    <w:left w:val="none" w:sz="0" w:space="0" w:color="auto"/>
                    <w:bottom w:val="none" w:sz="0" w:space="0" w:color="auto"/>
                    <w:right w:val="none" w:sz="0" w:space="0" w:color="auto"/>
                  </w:divBdr>
                </w:div>
                <w:div w:id="819200805">
                  <w:marLeft w:val="0"/>
                  <w:marRight w:val="0"/>
                  <w:marTop w:val="0"/>
                  <w:marBottom w:val="0"/>
                  <w:divBdr>
                    <w:top w:val="none" w:sz="0" w:space="0" w:color="auto"/>
                    <w:left w:val="none" w:sz="0" w:space="0" w:color="auto"/>
                    <w:bottom w:val="none" w:sz="0" w:space="0" w:color="auto"/>
                    <w:right w:val="none" w:sz="0" w:space="0" w:color="auto"/>
                  </w:divBdr>
                </w:div>
                <w:div w:id="829246875">
                  <w:marLeft w:val="0"/>
                  <w:marRight w:val="0"/>
                  <w:marTop w:val="0"/>
                  <w:marBottom w:val="0"/>
                  <w:divBdr>
                    <w:top w:val="none" w:sz="0" w:space="0" w:color="auto"/>
                    <w:left w:val="none" w:sz="0" w:space="0" w:color="auto"/>
                    <w:bottom w:val="none" w:sz="0" w:space="0" w:color="auto"/>
                    <w:right w:val="none" w:sz="0" w:space="0" w:color="auto"/>
                  </w:divBdr>
                </w:div>
                <w:div w:id="1311058041">
                  <w:marLeft w:val="0"/>
                  <w:marRight w:val="0"/>
                  <w:marTop w:val="0"/>
                  <w:marBottom w:val="0"/>
                  <w:divBdr>
                    <w:top w:val="none" w:sz="0" w:space="0" w:color="auto"/>
                    <w:left w:val="none" w:sz="0" w:space="0" w:color="auto"/>
                    <w:bottom w:val="none" w:sz="0" w:space="0" w:color="auto"/>
                    <w:right w:val="none" w:sz="0" w:space="0" w:color="auto"/>
                  </w:divBdr>
                </w:div>
                <w:div w:id="796678684">
                  <w:marLeft w:val="0"/>
                  <w:marRight w:val="0"/>
                  <w:marTop w:val="0"/>
                  <w:marBottom w:val="0"/>
                  <w:divBdr>
                    <w:top w:val="none" w:sz="0" w:space="0" w:color="auto"/>
                    <w:left w:val="none" w:sz="0" w:space="0" w:color="auto"/>
                    <w:bottom w:val="none" w:sz="0" w:space="0" w:color="auto"/>
                    <w:right w:val="none" w:sz="0" w:space="0" w:color="auto"/>
                  </w:divBdr>
                </w:div>
                <w:div w:id="268008467">
                  <w:marLeft w:val="0"/>
                  <w:marRight w:val="0"/>
                  <w:marTop w:val="0"/>
                  <w:marBottom w:val="0"/>
                  <w:divBdr>
                    <w:top w:val="none" w:sz="0" w:space="0" w:color="auto"/>
                    <w:left w:val="none" w:sz="0" w:space="0" w:color="auto"/>
                    <w:bottom w:val="none" w:sz="0" w:space="0" w:color="auto"/>
                    <w:right w:val="none" w:sz="0" w:space="0" w:color="auto"/>
                  </w:divBdr>
                </w:div>
                <w:div w:id="378675676">
                  <w:marLeft w:val="0"/>
                  <w:marRight w:val="0"/>
                  <w:marTop w:val="0"/>
                  <w:marBottom w:val="0"/>
                  <w:divBdr>
                    <w:top w:val="none" w:sz="0" w:space="0" w:color="auto"/>
                    <w:left w:val="none" w:sz="0" w:space="0" w:color="auto"/>
                    <w:bottom w:val="none" w:sz="0" w:space="0" w:color="auto"/>
                    <w:right w:val="none" w:sz="0" w:space="0" w:color="auto"/>
                  </w:divBdr>
                </w:div>
                <w:div w:id="2052682359">
                  <w:marLeft w:val="0"/>
                  <w:marRight w:val="0"/>
                  <w:marTop w:val="0"/>
                  <w:marBottom w:val="0"/>
                  <w:divBdr>
                    <w:top w:val="none" w:sz="0" w:space="0" w:color="auto"/>
                    <w:left w:val="none" w:sz="0" w:space="0" w:color="auto"/>
                    <w:bottom w:val="none" w:sz="0" w:space="0" w:color="auto"/>
                    <w:right w:val="none" w:sz="0" w:space="0" w:color="auto"/>
                  </w:divBdr>
                </w:div>
                <w:div w:id="1662392659">
                  <w:marLeft w:val="0"/>
                  <w:marRight w:val="0"/>
                  <w:marTop w:val="0"/>
                  <w:marBottom w:val="0"/>
                  <w:divBdr>
                    <w:top w:val="none" w:sz="0" w:space="0" w:color="auto"/>
                    <w:left w:val="none" w:sz="0" w:space="0" w:color="auto"/>
                    <w:bottom w:val="none" w:sz="0" w:space="0" w:color="auto"/>
                    <w:right w:val="none" w:sz="0" w:space="0" w:color="auto"/>
                  </w:divBdr>
                </w:div>
                <w:div w:id="413211097">
                  <w:marLeft w:val="0"/>
                  <w:marRight w:val="0"/>
                  <w:marTop w:val="0"/>
                  <w:marBottom w:val="0"/>
                  <w:divBdr>
                    <w:top w:val="none" w:sz="0" w:space="0" w:color="auto"/>
                    <w:left w:val="none" w:sz="0" w:space="0" w:color="auto"/>
                    <w:bottom w:val="none" w:sz="0" w:space="0" w:color="auto"/>
                    <w:right w:val="none" w:sz="0" w:space="0" w:color="auto"/>
                  </w:divBdr>
                </w:div>
                <w:div w:id="867379225">
                  <w:marLeft w:val="0"/>
                  <w:marRight w:val="0"/>
                  <w:marTop w:val="0"/>
                  <w:marBottom w:val="0"/>
                  <w:divBdr>
                    <w:top w:val="none" w:sz="0" w:space="0" w:color="auto"/>
                    <w:left w:val="none" w:sz="0" w:space="0" w:color="auto"/>
                    <w:bottom w:val="none" w:sz="0" w:space="0" w:color="auto"/>
                    <w:right w:val="none" w:sz="0" w:space="0" w:color="auto"/>
                  </w:divBdr>
                </w:div>
                <w:div w:id="1272543093">
                  <w:marLeft w:val="0"/>
                  <w:marRight w:val="0"/>
                  <w:marTop w:val="0"/>
                  <w:marBottom w:val="0"/>
                  <w:divBdr>
                    <w:top w:val="none" w:sz="0" w:space="0" w:color="auto"/>
                    <w:left w:val="none" w:sz="0" w:space="0" w:color="auto"/>
                    <w:bottom w:val="none" w:sz="0" w:space="0" w:color="auto"/>
                    <w:right w:val="none" w:sz="0" w:space="0" w:color="auto"/>
                  </w:divBdr>
                </w:div>
                <w:div w:id="1705710769">
                  <w:marLeft w:val="0"/>
                  <w:marRight w:val="0"/>
                  <w:marTop w:val="0"/>
                  <w:marBottom w:val="0"/>
                  <w:divBdr>
                    <w:top w:val="none" w:sz="0" w:space="0" w:color="auto"/>
                    <w:left w:val="none" w:sz="0" w:space="0" w:color="auto"/>
                    <w:bottom w:val="none" w:sz="0" w:space="0" w:color="auto"/>
                    <w:right w:val="none" w:sz="0" w:space="0" w:color="auto"/>
                  </w:divBdr>
                </w:div>
                <w:div w:id="1300039318">
                  <w:marLeft w:val="0"/>
                  <w:marRight w:val="0"/>
                  <w:marTop w:val="0"/>
                  <w:marBottom w:val="0"/>
                  <w:divBdr>
                    <w:top w:val="none" w:sz="0" w:space="0" w:color="auto"/>
                    <w:left w:val="none" w:sz="0" w:space="0" w:color="auto"/>
                    <w:bottom w:val="none" w:sz="0" w:space="0" w:color="auto"/>
                    <w:right w:val="none" w:sz="0" w:space="0" w:color="auto"/>
                  </w:divBdr>
                </w:div>
                <w:div w:id="723332622">
                  <w:marLeft w:val="0"/>
                  <w:marRight w:val="0"/>
                  <w:marTop w:val="0"/>
                  <w:marBottom w:val="0"/>
                  <w:divBdr>
                    <w:top w:val="none" w:sz="0" w:space="0" w:color="auto"/>
                    <w:left w:val="none" w:sz="0" w:space="0" w:color="auto"/>
                    <w:bottom w:val="none" w:sz="0" w:space="0" w:color="auto"/>
                    <w:right w:val="none" w:sz="0" w:space="0" w:color="auto"/>
                  </w:divBdr>
                </w:div>
                <w:div w:id="1540433040">
                  <w:marLeft w:val="0"/>
                  <w:marRight w:val="0"/>
                  <w:marTop w:val="0"/>
                  <w:marBottom w:val="0"/>
                  <w:divBdr>
                    <w:top w:val="none" w:sz="0" w:space="0" w:color="auto"/>
                    <w:left w:val="none" w:sz="0" w:space="0" w:color="auto"/>
                    <w:bottom w:val="none" w:sz="0" w:space="0" w:color="auto"/>
                    <w:right w:val="none" w:sz="0" w:space="0" w:color="auto"/>
                  </w:divBdr>
                </w:div>
                <w:div w:id="1072629137">
                  <w:marLeft w:val="0"/>
                  <w:marRight w:val="0"/>
                  <w:marTop w:val="0"/>
                  <w:marBottom w:val="0"/>
                  <w:divBdr>
                    <w:top w:val="none" w:sz="0" w:space="0" w:color="auto"/>
                    <w:left w:val="none" w:sz="0" w:space="0" w:color="auto"/>
                    <w:bottom w:val="none" w:sz="0" w:space="0" w:color="auto"/>
                    <w:right w:val="none" w:sz="0" w:space="0" w:color="auto"/>
                  </w:divBdr>
                </w:div>
                <w:div w:id="618294998">
                  <w:marLeft w:val="0"/>
                  <w:marRight w:val="0"/>
                  <w:marTop w:val="0"/>
                  <w:marBottom w:val="0"/>
                  <w:divBdr>
                    <w:top w:val="none" w:sz="0" w:space="0" w:color="auto"/>
                    <w:left w:val="none" w:sz="0" w:space="0" w:color="auto"/>
                    <w:bottom w:val="none" w:sz="0" w:space="0" w:color="auto"/>
                    <w:right w:val="none" w:sz="0" w:space="0" w:color="auto"/>
                  </w:divBdr>
                </w:div>
                <w:div w:id="769855785">
                  <w:marLeft w:val="0"/>
                  <w:marRight w:val="0"/>
                  <w:marTop w:val="0"/>
                  <w:marBottom w:val="0"/>
                  <w:divBdr>
                    <w:top w:val="none" w:sz="0" w:space="0" w:color="auto"/>
                    <w:left w:val="none" w:sz="0" w:space="0" w:color="auto"/>
                    <w:bottom w:val="none" w:sz="0" w:space="0" w:color="auto"/>
                    <w:right w:val="none" w:sz="0" w:space="0" w:color="auto"/>
                  </w:divBdr>
                </w:div>
                <w:div w:id="1539735409">
                  <w:marLeft w:val="0"/>
                  <w:marRight w:val="0"/>
                  <w:marTop w:val="0"/>
                  <w:marBottom w:val="0"/>
                  <w:divBdr>
                    <w:top w:val="none" w:sz="0" w:space="0" w:color="auto"/>
                    <w:left w:val="none" w:sz="0" w:space="0" w:color="auto"/>
                    <w:bottom w:val="none" w:sz="0" w:space="0" w:color="auto"/>
                    <w:right w:val="none" w:sz="0" w:space="0" w:color="auto"/>
                  </w:divBdr>
                </w:div>
                <w:div w:id="1302271305">
                  <w:marLeft w:val="0"/>
                  <w:marRight w:val="0"/>
                  <w:marTop w:val="0"/>
                  <w:marBottom w:val="0"/>
                  <w:divBdr>
                    <w:top w:val="none" w:sz="0" w:space="0" w:color="auto"/>
                    <w:left w:val="none" w:sz="0" w:space="0" w:color="auto"/>
                    <w:bottom w:val="none" w:sz="0" w:space="0" w:color="auto"/>
                    <w:right w:val="none" w:sz="0" w:space="0" w:color="auto"/>
                  </w:divBdr>
                </w:div>
                <w:div w:id="767697720">
                  <w:marLeft w:val="0"/>
                  <w:marRight w:val="0"/>
                  <w:marTop w:val="0"/>
                  <w:marBottom w:val="0"/>
                  <w:divBdr>
                    <w:top w:val="none" w:sz="0" w:space="0" w:color="auto"/>
                    <w:left w:val="none" w:sz="0" w:space="0" w:color="auto"/>
                    <w:bottom w:val="none" w:sz="0" w:space="0" w:color="auto"/>
                    <w:right w:val="none" w:sz="0" w:space="0" w:color="auto"/>
                  </w:divBdr>
                </w:div>
                <w:div w:id="748116279">
                  <w:marLeft w:val="0"/>
                  <w:marRight w:val="0"/>
                  <w:marTop w:val="0"/>
                  <w:marBottom w:val="0"/>
                  <w:divBdr>
                    <w:top w:val="none" w:sz="0" w:space="0" w:color="auto"/>
                    <w:left w:val="none" w:sz="0" w:space="0" w:color="auto"/>
                    <w:bottom w:val="none" w:sz="0" w:space="0" w:color="auto"/>
                    <w:right w:val="none" w:sz="0" w:space="0" w:color="auto"/>
                  </w:divBdr>
                </w:div>
                <w:div w:id="925111223">
                  <w:marLeft w:val="0"/>
                  <w:marRight w:val="0"/>
                  <w:marTop w:val="0"/>
                  <w:marBottom w:val="0"/>
                  <w:divBdr>
                    <w:top w:val="none" w:sz="0" w:space="0" w:color="auto"/>
                    <w:left w:val="none" w:sz="0" w:space="0" w:color="auto"/>
                    <w:bottom w:val="none" w:sz="0" w:space="0" w:color="auto"/>
                    <w:right w:val="none" w:sz="0" w:space="0" w:color="auto"/>
                  </w:divBdr>
                </w:div>
                <w:div w:id="1925533193">
                  <w:marLeft w:val="0"/>
                  <w:marRight w:val="0"/>
                  <w:marTop w:val="0"/>
                  <w:marBottom w:val="0"/>
                  <w:divBdr>
                    <w:top w:val="none" w:sz="0" w:space="0" w:color="auto"/>
                    <w:left w:val="none" w:sz="0" w:space="0" w:color="auto"/>
                    <w:bottom w:val="none" w:sz="0" w:space="0" w:color="auto"/>
                    <w:right w:val="none" w:sz="0" w:space="0" w:color="auto"/>
                  </w:divBdr>
                </w:div>
                <w:div w:id="1407604114">
                  <w:marLeft w:val="0"/>
                  <w:marRight w:val="0"/>
                  <w:marTop w:val="0"/>
                  <w:marBottom w:val="0"/>
                  <w:divBdr>
                    <w:top w:val="none" w:sz="0" w:space="0" w:color="auto"/>
                    <w:left w:val="none" w:sz="0" w:space="0" w:color="auto"/>
                    <w:bottom w:val="none" w:sz="0" w:space="0" w:color="auto"/>
                    <w:right w:val="none" w:sz="0" w:space="0" w:color="auto"/>
                  </w:divBdr>
                </w:div>
                <w:div w:id="1699548757">
                  <w:marLeft w:val="0"/>
                  <w:marRight w:val="0"/>
                  <w:marTop w:val="0"/>
                  <w:marBottom w:val="0"/>
                  <w:divBdr>
                    <w:top w:val="none" w:sz="0" w:space="0" w:color="auto"/>
                    <w:left w:val="none" w:sz="0" w:space="0" w:color="auto"/>
                    <w:bottom w:val="none" w:sz="0" w:space="0" w:color="auto"/>
                    <w:right w:val="none" w:sz="0" w:space="0" w:color="auto"/>
                  </w:divBdr>
                </w:div>
                <w:div w:id="1707441422">
                  <w:marLeft w:val="0"/>
                  <w:marRight w:val="0"/>
                  <w:marTop w:val="0"/>
                  <w:marBottom w:val="0"/>
                  <w:divBdr>
                    <w:top w:val="none" w:sz="0" w:space="0" w:color="auto"/>
                    <w:left w:val="none" w:sz="0" w:space="0" w:color="auto"/>
                    <w:bottom w:val="none" w:sz="0" w:space="0" w:color="auto"/>
                    <w:right w:val="none" w:sz="0" w:space="0" w:color="auto"/>
                  </w:divBdr>
                </w:div>
                <w:div w:id="979656014">
                  <w:marLeft w:val="0"/>
                  <w:marRight w:val="0"/>
                  <w:marTop w:val="0"/>
                  <w:marBottom w:val="0"/>
                  <w:divBdr>
                    <w:top w:val="none" w:sz="0" w:space="0" w:color="auto"/>
                    <w:left w:val="none" w:sz="0" w:space="0" w:color="auto"/>
                    <w:bottom w:val="none" w:sz="0" w:space="0" w:color="auto"/>
                    <w:right w:val="none" w:sz="0" w:space="0" w:color="auto"/>
                  </w:divBdr>
                </w:div>
                <w:div w:id="694694666">
                  <w:marLeft w:val="0"/>
                  <w:marRight w:val="0"/>
                  <w:marTop w:val="0"/>
                  <w:marBottom w:val="0"/>
                  <w:divBdr>
                    <w:top w:val="none" w:sz="0" w:space="0" w:color="auto"/>
                    <w:left w:val="none" w:sz="0" w:space="0" w:color="auto"/>
                    <w:bottom w:val="none" w:sz="0" w:space="0" w:color="auto"/>
                    <w:right w:val="none" w:sz="0" w:space="0" w:color="auto"/>
                  </w:divBdr>
                </w:div>
                <w:div w:id="624967064">
                  <w:marLeft w:val="0"/>
                  <w:marRight w:val="0"/>
                  <w:marTop w:val="0"/>
                  <w:marBottom w:val="0"/>
                  <w:divBdr>
                    <w:top w:val="none" w:sz="0" w:space="0" w:color="auto"/>
                    <w:left w:val="none" w:sz="0" w:space="0" w:color="auto"/>
                    <w:bottom w:val="none" w:sz="0" w:space="0" w:color="auto"/>
                    <w:right w:val="none" w:sz="0" w:space="0" w:color="auto"/>
                  </w:divBdr>
                </w:div>
                <w:div w:id="9649187">
                  <w:marLeft w:val="0"/>
                  <w:marRight w:val="0"/>
                  <w:marTop w:val="0"/>
                  <w:marBottom w:val="0"/>
                  <w:divBdr>
                    <w:top w:val="none" w:sz="0" w:space="0" w:color="auto"/>
                    <w:left w:val="none" w:sz="0" w:space="0" w:color="auto"/>
                    <w:bottom w:val="none" w:sz="0" w:space="0" w:color="auto"/>
                    <w:right w:val="none" w:sz="0" w:space="0" w:color="auto"/>
                  </w:divBdr>
                </w:div>
                <w:div w:id="702753585">
                  <w:marLeft w:val="0"/>
                  <w:marRight w:val="0"/>
                  <w:marTop w:val="0"/>
                  <w:marBottom w:val="0"/>
                  <w:divBdr>
                    <w:top w:val="none" w:sz="0" w:space="0" w:color="auto"/>
                    <w:left w:val="none" w:sz="0" w:space="0" w:color="auto"/>
                    <w:bottom w:val="none" w:sz="0" w:space="0" w:color="auto"/>
                    <w:right w:val="none" w:sz="0" w:space="0" w:color="auto"/>
                  </w:divBdr>
                </w:div>
                <w:div w:id="53360167">
                  <w:marLeft w:val="0"/>
                  <w:marRight w:val="0"/>
                  <w:marTop w:val="0"/>
                  <w:marBottom w:val="0"/>
                  <w:divBdr>
                    <w:top w:val="none" w:sz="0" w:space="0" w:color="auto"/>
                    <w:left w:val="none" w:sz="0" w:space="0" w:color="auto"/>
                    <w:bottom w:val="none" w:sz="0" w:space="0" w:color="auto"/>
                    <w:right w:val="none" w:sz="0" w:space="0" w:color="auto"/>
                  </w:divBdr>
                </w:div>
                <w:div w:id="153105768">
                  <w:marLeft w:val="0"/>
                  <w:marRight w:val="0"/>
                  <w:marTop w:val="0"/>
                  <w:marBottom w:val="0"/>
                  <w:divBdr>
                    <w:top w:val="none" w:sz="0" w:space="0" w:color="auto"/>
                    <w:left w:val="none" w:sz="0" w:space="0" w:color="auto"/>
                    <w:bottom w:val="none" w:sz="0" w:space="0" w:color="auto"/>
                    <w:right w:val="none" w:sz="0" w:space="0" w:color="auto"/>
                  </w:divBdr>
                </w:div>
                <w:div w:id="1927231354">
                  <w:marLeft w:val="0"/>
                  <w:marRight w:val="0"/>
                  <w:marTop w:val="0"/>
                  <w:marBottom w:val="0"/>
                  <w:divBdr>
                    <w:top w:val="none" w:sz="0" w:space="0" w:color="auto"/>
                    <w:left w:val="none" w:sz="0" w:space="0" w:color="auto"/>
                    <w:bottom w:val="none" w:sz="0" w:space="0" w:color="auto"/>
                    <w:right w:val="none" w:sz="0" w:space="0" w:color="auto"/>
                  </w:divBdr>
                </w:div>
                <w:div w:id="1364553046">
                  <w:marLeft w:val="0"/>
                  <w:marRight w:val="0"/>
                  <w:marTop w:val="0"/>
                  <w:marBottom w:val="0"/>
                  <w:divBdr>
                    <w:top w:val="none" w:sz="0" w:space="0" w:color="auto"/>
                    <w:left w:val="none" w:sz="0" w:space="0" w:color="auto"/>
                    <w:bottom w:val="none" w:sz="0" w:space="0" w:color="auto"/>
                    <w:right w:val="none" w:sz="0" w:space="0" w:color="auto"/>
                  </w:divBdr>
                </w:div>
                <w:div w:id="498496485">
                  <w:marLeft w:val="0"/>
                  <w:marRight w:val="0"/>
                  <w:marTop w:val="0"/>
                  <w:marBottom w:val="0"/>
                  <w:divBdr>
                    <w:top w:val="none" w:sz="0" w:space="0" w:color="auto"/>
                    <w:left w:val="none" w:sz="0" w:space="0" w:color="auto"/>
                    <w:bottom w:val="none" w:sz="0" w:space="0" w:color="auto"/>
                    <w:right w:val="none" w:sz="0" w:space="0" w:color="auto"/>
                  </w:divBdr>
                </w:div>
                <w:div w:id="933825879">
                  <w:marLeft w:val="0"/>
                  <w:marRight w:val="0"/>
                  <w:marTop w:val="0"/>
                  <w:marBottom w:val="0"/>
                  <w:divBdr>
                    <w:top w:val="none" w:sz="0" w:space="0" w:color="auto"/>
                    <w:left w:val="none" w:sz="0" w:space="0" w:color="auto"/>
                    <w:bottom w:val="none" w:sz="0" w:space="0" w:color="auto"/>
                    <w:right w:val="none" w:sz="0" w:space="0" w:color="auto"/>
                  </w:divBdr>
                </w:div>
                <w:div w:id="1424717427">
                  <w:marLeft w:val="0"/>
                  <w:marRight w:val="0"/>
                  <w:marTop w:val="0"/>
                  <w:marBottom w:val="0"/>
                  <w:divBdr>
                    <w:top w:val="none" w:sz="0" w:space="0" w:color="auto"/>
                    <w:left w:val="none" w:sz="0" w:space="0" w:color="auto"/>
                    <w:bottom w:val="none" w:sz="0" w:space="0" w:color="auto"/>
                    <w:right w:val="none" w:sz="0" w:space="0" w:color="auto"/>
                  </w:divBdr>
                </w:div>
                <w:div w:id="1432242772">
                  <w:marLeft w:val="0"/>
                  <w:marRight w:val="0"/>
                  <w:marTop w:val="0"/>
                  <w:marBottom w:val="0"/>
                  <w:divBdr>
                    <w:top w:val="none" w:sz="0" w:space="0" w:color="auto"/>
                    <w:left w:val="none" w:sz="0" w:space="0" w:color="auto"/>
                    <w:bottom w:val="none" w:sz="0" w:space="0" w:color="auto"/>
                    <w:right w:val="none" w:sz="0" w:space="0" w:color="auto"/>
                  </w:divBdr>
                </w:div>
                <w:div w:id="277834027">
                  <w:marLeft w:val="0"/>
                  <w:marRight w:val="0"/>
                  <w:marTop w:val="0"/>
                  <w:marBottom w:val="0"/>
                  <w:divBdr>
                    <w:top w:val="none" w:sz="0" w:space="0" w:color="auto"/>
                    <w:left w:val="none" w:sz="0" w:space="0" w:color="auto"/>
                    <w:bottom w:val="none" w:sz="0" w:space="0" w:color="auto"/>
                    <w:right w:val="none" w:sz="0" w:space="0" w:color="auto"/>
                  </w:divBdr>
                </w:div>
                <w:div w:id="850606962">
                  <w:marLeft w:val="0"/>
                  <w:marRight w:val="0"/>
                  <w:marTop w:val="0"/>
                  <w:marBottom w:val="0"/>
                  <w:divBdr>
                    <w:top w:val="none" w:sz="0" w:space="0" w:color="auto"/>
                    <w:left w:val="none" w:sz="0" w:space="0" w:color="auto"/>
                    <w:bottom w:val="none" w:sz="0" w:space="0" w:color="auto"/>
                    <w:right w:val="none" w:sz="0" w:space="0" w:color="auto"/>
                  </w:divBdr>
                </w:div>
                <w:div w:id="502086685">
                  <w:marLeft w:val="0"/>
                  <w:marRight w:val="0"/>
                  <w:marTop w:val="0"/>
                  <w:marBottom w:val="0"/>
                  <w:divBdr>
                    <w:top w:val="none" w:sz="0" w:space="0" w:color="auto"/>
                    <w:left w:val="none" w:sz="0" w:space="0" w:color="auto"/>
                    <w:bottom w:val="none" w:sz="0" w:space="0" w:color="auto"/>
                    <w:right w:val="none" w:sz="0" w:space="0" w:color="auto"/>
                  </w:divBdr>
                </w:div>
                <w:div w:id="1312443886">
                  <w:marLeft w:val="0"/>
                  <w:marRight w:val="0"/>
                  <w:marTop w:val="0"/>
                  <w:marBottom w:val="0"/>
                  <w:divBdr>
                    <w:top w:val="none" w:sz="0" w:space="0" w:color="auto"/>
                    <w:left w:val="none" w:sz="0" w:space="0" w:color="auto"/>
                    <w:bottom w:val="none" w:sz="0" w:space="0" w:color="auto"/>
                    <w:right w:val="none" w:sz="0" w:space="0" w:color="auto"/>
                  </w:divBdr>
                </w:div>
                <w:div w:id="1040013341">
                  <w:marLeft w:val="0"/>
                  <w:marRight w:val="0"/>
                  <w:marTop w:val="0"/>
                  <w:marBottom w:val="0"/>
                  <w:divBdr>
                    <w:top w:val="none" w:sz="0" w:space="0" w:color="auto"/>
                    <w:left w:val="none" w:sz="0" w:space="0" w:color="auto"/>
                    <w:bottom w:val="none" w:sz="0" w:space="0" w:color="auto"/>
                    <w:right w:val="none" w:sz="0" w:space="0" w:color="auto"/>
                  </w:divBdr>
                </w:div>
                <w:div w:id="1885214756">
                  <w:marLeft w:val="0"/>
                  <w:marRight w:val="0"/>
                  <w:marTop w:val="0"/>
                  <w:marBottom w:val="0"/>
                  <w:divBdr>
                    <w:top w:val="none" w:sz="0" w:space="0" w:color="auto"/>
                    <w:left w:val="none" w:sz="0" w:space="0" w:color="auto"/>
                    <w:bottom w:val="none" w:sz="0" w:space="0" w:color="auto"/>
                    <w:right w:val="none" w:sz="0" w:space="0" w:color="auto"/>
                  </w:divBdr>
                </w:div>
                <w:div w:id="554121437">
                  <w:marLeft w:val="0"/>
                  <w:marRight w:val="0"/>
                  <w:marTop w:val="0"/>
                  <w:marBottom w:val="0"/>
                  <w:divBdr>
                    <w:top w:val="none" w:sz="0" w:space="0" w:color="auto"/>
                    <w:left w:val="none" w:sz="0" w:space="0" w:color="auto"/>
                    <w:bottom w:val="none" w:sz="0" w:space="0" w:color="auto"/>
                    <w:right w:val="none" w:sz="0" w:space="0" w:color="auto"/>
                  </w:divBdr>
                </w:div>
                <w:div w:id="121702935">
                  <w:marLeft w:val="0"/>
                  <w:marRight w:val="0"/>
                  <w:marTop w:val="0"/>
                  <w:marBottom w:val="0"/>
                  <w:divBdr>
                    <w:top w:val="none" w:sz="0" w:space="0" w:color="auto"/>
                    <w:left w:val="none" w:sz="0" w:space="0" w:color="auto"/>
                    <w:bottom w:val="none" w:sz="0" w:space="0" w:color="auto"/>
                    <w:right w:val="none" w:sz="0" w:space="0" w:color="auto"/>
                  </w:divBdr>
                </w:div>
                <w:div w:id="748966105">
                  <w:marLeft w:val="0"/>
                  <w:marRight w:val="0"/>
                  <w:marTop w:val="0"/>
                  <w:marBottom w:val="0"/>
                  <w:divBdr>
                    <w:top w:val="none" w:sz="0" w:space="0" w:color="auto"/>
                    <w:left w:val="none" w:sz="0" w:space="0" w:color="auto"/>
                    <w:bottom w:val="none" w:sz="0" w:space="0" w:color="auto"/>
                    <w:right w:val="none" w:sz="0" w:space="0" w:color="auto"/>
                  </w:divBdr>
                </w:div>
                <w:div w:id="737678613">
                  <w:marLeft w:val="0"/>
                  <w:marRight w:val="0"/>
                  <w:marTop w:val="0"/>
                  <w:marBottom w:val="0"/>
                  <w:divBdr>
                    <w:top w:val="none" w:sz="0" w:space="0" w:color="auto"/>
                    <w:left w:val="none" w:sz="0" w:space="0" w:color="auto"/>
                    <w:bottom w:val="none" w:sz="0" w:space="0" w:color="auto"/>
                    <w:right w:val="none" w:sz="0" w:space="0" w:color="auto"/>
                  </w:divBdr>
                </w:div>
                <w:div w:id="1386760082">
                  <w:marLeft w:val="0"/>
                  <w:marRight w:val="0"/>
                  <w:marTop w:val="0"/>
                  <w:marBottom w:val="0"/>
                  <w:divBdr>
                    <w:top w:val="none" w:sz="0" w:space="0" w:color="auto"/>
                    <w:left w:val="none" w:sz="0" w:space="0" w:color="auto"/>
                    <w:bottom w:val="none" w:sz="0" w:space="0" w:color="auto"/>
                    <w:right w:val="none" w:sz="0" w:space="0" w:color="auto"/>
                  </w:divBdr>
                </w:div>
                <w:div w:id="1118256541">
                  <w:marLeft w:val="0"/>
                  <w:marRight w:val="0"/>
                  <w:marTop w:val="0"/>
                  <w:marBottom w:val="0"/>
                  <w:divBdr>
                    <w:top w:val="none" w:sz="0" w:space="0" w:color="auto"/>
                    <w:left w:val="none" w:sz="0" w:space="0" w:color="auto"/>
                    <w:bottom w:val="none" w:sz="0" w:space="0" w:color="auto"/>
                    <w:right w:val="none" w:sz="0" w:space="0" w:color="auto"/>
                  </w:divBdr>
                </w:div>
                <w:div w:id="1303847775">
                  <w:marLeft w:val="0"/>
                  <w:marRight w:val="0"/>
                  <w:marTop w:val="0"/>
                  <w:marBottom w:val="0"/>
                  <w:divBdr>
                    <w:top w:val="none" w:sz="0" w:space="0" w:color="auto"/>
                    <w:left w:val="none" w:sz="0" w:space="0" w:color="auto"/>
                    <w:bottom w:val="none" w:sz="0" w:space="0" w:color="auto"/>
                    <w:right w:val="none" w:sz="0" w:space="0" w:color="auto"/>
                  </w:divBdr>
                </w:div>
                <w:div w:id="2038189250">
                  <w:marLeft w:val="0"/>
                  <w:marRight w:val="0"/>
                  <w:marTop w:val="0"/>
                  <w:marBottom w:val="0"/>
                  <w:divBdr>
                    <w:top w:val="none" w:sz="0" w:space="0" w:color="auto"/>
                    <w:left w:val="none" w:sz="0" w:space="0" w:color="auto"/>
                    <w:bottom w:val="none" w:sz="0" w:space="0" w:color="auto"/>
                    <w:right w:val="none" w:sz="0" w:space="0" w:color="auto"/>
                  </w:divBdr>
                </w:div>
                <w:div w:id="1265262087">
                  <w:marLeft w:val="0"/>
                  <w:marRight w:val="0"/>
                  <w:marTop w:val="0"/>
                  <w:marBottom w:val="0"/>
                  <w:divBdr>
                    <w:top w:val="none" w:sz="0" w:space="0" w:color="auto"/>
                    <w:left w:val="none" w:sz="0" w:space="0" w:color="auto"/>
                    <w:bottom w:val="none" w:sz="0" w:space="0" w:color="auto"/>
                    <w:right w:val="none" w:sz="0" w:space="0" w:color="auto"/>
                  </w:divBdr>
                </w:div>
                <w:div w:id="1270434962">
                  <w:marLeft w:val="0"/>
                  <w:marRight w:val="0"/>
                  <w:marTop w:val="0"/>
                  <w:marBottom w:val="0"/>
                  <w:divBdr>
                    <w:top w:val="none" w:sz="0" w:space="0" w:color="auto"/>
                    <w:left w:val="none" w:sz="0" w:space="0" w:color="auto"/>
                    <w:bottom w:val="none" w:sz="0" w:space="0" w:color="auto"/>
                    <w:right w:val="none" w:sz="0" w:space="0" w:color="auto"/>
                  </w:divBdr>
                </w:div>
                <w:div w:id="427387361">
                  <w:marLeft w:val="0"/>
                  <w:marRight w:val="0"/>
                  <w:marTop w:val="0"/>
                  <w:marBottom w:val="0"/>
                  <w:divBdr>
                    <w:top w:val="none" w:sz="0" w:space="0" w:color="auto"/>
                    <w:left w:val="none" w:sz="0" w:space="0" w:color="auto"/>
                    <w:bottom w:val="none" w:sz="0" w:space="0" w:color="auto"/>
                    <w:right w:val="none" w:sz="0" w:space="0" w:color="auto"/>
                  </w:divBdr>
                </w:div>
                <w:div w:id="207497766">
                  <w:marLeft w:val="0"/>
                  <w:marRight w:val="0"/>
                  <w:marTop w:val="0"/>
                  <w:marBottom w:val="0"/>
                  <w:divBdr>
                    <w:top w:val="none" w:sz="0" w:space="0" w:color="auto"/>
                    <w:left w:val="none" w:sz="0" w:space="0" w:color="auto"/>
                    <w:bottom w:val="none" w:sz="0" w:space="0" w:color="auto"/>
                    <w:right w:val="none" w:sz="0" w:space="0" w:color="auto"/>
                  </w:divBdr>
                </w:div>
                <w:div w:id="2085910005">
                  <w:marLeft w:val="0"/>
                  <w:marRight w:val="0"/>
                  <w:marTop w:val="0"/>
                  <w:marBottom w:val="0"/>
                  <w:divBdr>
                    <w:top w:val="none" w:sz="0" w:space="0" w:color="auto"/>
                    <w:left w:val="none" w:sz="0" w:space="0" w:color="auto"/>
                    <w:bottom w:val="none" w:sz="0" w:space="0" w:color="auto"/>
                    <w:right w:val="none" w:sz="0" w:space="0" w:color="auto"/>
                  </w:divBdr>
                </w:div>
                <w:div w:id="1375082502">
                  <w:marLeft w:val="0"/>
                  <w:marRight w:val="0"/>
                  <w:marTop w:val="0"/>
                  <w:marBottom w:val="0"/>
                  <w:divBdr>
                    <w:top w:val="none" w:sz="0" w:space="0" w:color="auto"/>
                    <w:left w:val="none" w:sz="0" w:space="0" w:color="auto"/>
                    <w:bottom w:val="none" w:sz="0" w:space="0" w:color="auto"/>
                    <w:right w:val="none" w:sz="0" w:space="0" w:color="auto"/>
                  </w:divBdr>
                </w:div>
                <w:div w:id="712459715">
                  <w:marLeft w:val="0"/>
                  <w:marRight w:val="0"/>
                  <w:marTop w:val="0"/>
                  <w:marBottom w:val="0"/>
                  <w:divBdr>
                    <w:top w:val="none" w:sz="0" w:space="0" w:color="auto"/>
                    <w:left w:val="none" w:sz="0" w:space="0" w:color="auto"/>
                    <w:bottom w:val="none" w:sz="0" w:space="0" w:color="auto"/>
                    <w:right w:val="none" w:sz="0" w:space="0" w:color="auto"/>
                  </w:divBdr>
                </w:div>
                <w:div w:id="1772237187">
                  <w:marLeft w:val="0"/>
                  <w:marRight w:val="0"/>
                  <w:marTop w:val="0"/>
                  <w:marBottom w:val="0"/>
                  <w:divBdr>
                    <w:top w:val="none" w:sz="0" w:space="0" w:color="auto"/>
                    <w:left w:val="none" w:sz="0" w:space="0" w:color="auto"/>
                    <w:bottom w:val="none" w:sz="0" w:space="0" w:color="auto"/>
                    <w:right w:val="none" w:sz="0" w:space="0" w:color="auto"/>
                  </w:divBdr>
                </w:div>
                <w:div w:id="298465080">
                  <w:marLeft w:val="0"/>
                  <w:marRight w:val="0"/>
                  <w:marTop w:val="0"/>
                  <w:marBottom w:val="0"/>
                  <w:divBdr>
                    <w:top w:val="none" w:sz="0" w:space="0" w:color="auto"/>
                    <w:left w:val="none" w:sz="0" w:space="0" w:color="auto"/>
                    <w:bottom w:val="none" w:sz="0" w:space="0" w:color="auto"/>
                    <w:right w:val="none" w:sz="0" w:space="0" w:color="auto"/>
                  </w:divBdr>
                </w:div>
                <w:div w:id="2009404801">
                  <w:marLeft w:val="0"/>
                  <w:marRight w:val="0"/>
                  <w:marTop w:val="0"/>
                  <w:marBottom w:val="0"/>
                  <w:divBdr>
                    <w:top w:val="none" w:sz="0" w:space="0" w:color="auto"/>
                    <w:left w:val="none" w:sz="0" w:space="0" w:color="auto"/>
                    <w:bottom w:val="none" w:sz="0" w:space="0" w:color="auto"/>
                    <w:right w:val="none" w:sz="0" w:space="0" w:color="auto"/>
                  </w:divBdr>
                </w:div>
                <w:div w:id="1950047887">
                  <w:marLeft w:val="0"/>
                  <w:marRight w:val="0"/>
                  <w:marTop w:val="0"/>
                  <w:marBottom w:val="0"/>
                  <w:divBdr>
                    <w:top w:val="none" w:sz="0" w:space="0" w:color="auto"/>
                    <w:left w:val="none" w:sz="0" w:space="0" w:color="auto"/>
                    <w:bottom w:val="none" w:sz="0" w:space="0" w:color="auto"/>
                    <w:right w:val="none" w:sz="0" w:space="0" w:color="auto"/>
                  </w:divBdr>
                </w:div>
                <w:div w:id="1016156966">
                  <w:marLeft w:val="0"/>
                  <w:marRight w:val="0"/>
                  <w:marTop w:val="0"/>
                  <w:marBottom w:val="0"/>
                  <w:divBdr>
                    <w:top w:val="none" w:sz="0" w:space="0" w:color="auto"/>
                    <w:left w:val="none" w:sz="0" w:space="0" w:color="auto"/>
                    <w:bottom w:val="none" w:sz="0" w:space="0" w:color="auto"/>
                    <w:right w:val="none" w:sz="0" w:space="0" w:color="auto"/>
                  </w:divBdr>
                </w:div>
                <w:div w:id="122891274">
                  <w:marLeft w:val="0"/>
                  <w:marRight w:val="0"/>
                  <w:marTop w:val="0"/>
                  <w:marBottom w:val="0"/>
                  <w:divBdr>
                    <w:top w:val="none" w:sz="0" w:space="0" w:color="auto"/>
                    <w:left w:val="none" w:sz="0" w:space="0" w:color="auto"/>
                    <w:bottom w:val="none" w:sz="0" w:space="0" w:color="auto"/>
                    <w:right w:val="none" w:sz="0" w:space="0" w:color="auto"/>
                  </w:divBdr>
                </w:div>
                <w:div w:id="71516124">
                  <w:marLeft w:val="0"/>
                  <w:marRight w:val="0"/>
                  <w:marTop w:val="0"/>
                  <w:marBottom w:val="0"/>
                  <w:divBdr>
                    <w:top w:val="none" w:sz="0" w:space="0" w:color="auto"/>
                    <w:left w:val="none" w:sz="0" w:space="0" w:color="auto"/>
                    <w:bottom w:val="none" w:sz="0" w:space="0" w:color="auto"/>
                    <w:right w:val="none" w:sz="0" w:space="0" w:color="auto"/>
                  </w:divBdr>
                </w:div>
                <w:div w:id="1770734180">
                  <w:marLeft w:val="0"/>
                  <w:marRight w:val="0"/>
                  <w:marTop w:val="0"/>
                  <w:marBottom w:val="0"/>
                  <w:divBdr>
                    <w:top w:val="none" w:sz="0" w:space="0" w:color="auto"/>
                    <w:left w:val="none" w:sz="0" w:space="0" w:color="auto"/>
                    <w:bottom w:val="none" w:sz="0" w:space="0" w:color="auto"/>
                    <w:right w:val="none" w:sz="0" w:space="0" w:color="auto"/>
                  </w:divBdr>
                </w:div>
                <w:div w:id="560141277">
                  <w:marLeft w:val="0"/>
                  <w:marRight w:val="0"/>
                  <w:marTop w:val="0"/>
                  <w:marBottom w:val="0"/>
                  <w:divBdr>
                    <w:top w:val="none" w:sz="0" w:space="0" w:color="auto"/>
                    <w:left w:val="none" w:sz="0" w:space="0" w:color="auto"/>
                    <w:bottom w:val="none" w:sz="0" w:space="0" w:color="auto"/>
                    <w:right w:val="none" w:sz="0" w:space="0" w:color="auto"/>
                  </w:divBdr>
                </w:div>
                <w:div w:id="79957328">
                  <w:marLeft w:val="0"/>
                  <w:marRight w:val="0"/>
                  <w:marTop w:val="0"/>
                  <w:marBottom w:val="0"/>
                  <w:divBdr>
                    <w:top w:val="none" w:sz="0" w:space="0" w:color="auto"/>
                    <w:left w:val="none" w:sz="0" w:space="0" w:color="auto"/>
                    <w:bottom w:val="none" w:sz="0" w:space="0" w:color="auto"/>
                    <w:right w:val="none" w:sz="0" w:space="0" w:color="auto"/>
                  </w:divBdr>
                </w:div>
                <w:div w:id="1065104723">
                  <w:marLeft w:val="0"/>
                  <w:marRight w:val="0"/>
                  <w:marTop w:val="0"/>
                  <w:marBottom w:val="0"/>
                  <w:divBdr>
                    <w:top w:val="none" w:sz="0" w:space="0" w:color="auto"/>
                    <w:left w:val="none" w:sz="0" w:space="0" w:color="auto"/>
                    <w:bottom w:val="none" w:sz="0" w:space="0" w:color="auto"/>
                    <w:right w:val="none" w:sz="0" w:space="0" w:color="auto"/>
                  </w:divBdr>
                </w:div>
                <w:div w:id="950165054">
                  <w:marLeft w:val="0"/>
                  <w:marRight w:val="0"/>
                  <w:marTop w:val="0"/>
                  <w:marBottom w:val="0"/>
                  <w:divBdr>
                    <w:top w:val="none" w:sz="0" w:space="0" w:color="auto"/>
                    <w:left w:val="none" w:sz="0" w:space="0" w:color="auto"/>
                    <w:bottom w:val="none" w:sz="0" w:space="0" w:color="auto"/>
                    <w:right w:val="none" w:sz="0" w:space="0" w:color="auto"/>
                  </w:divBdr>
                </w:div>
                <w:div w:id="171333906">
                  <w:marLeft w:val="0"/>
                  <w:marRight w:val="0"/>
                  <w:marTop w:val="0"/>
                  <w:marBottom w:val="0"/>
                  <w:divBdr>
                    <w:top w:val="none" w:sz="0" w:space="0" w:color="auto"/>
                    <w:left w:val="none" w:sz="0" w:space="0" w:color="auto"/>
                    <w:bottom w:val="none" w:sz="0" w:space="0" w:color="auto"/>
                    <w:right w:val="none" w:sz="0" w:space="0" w:color="auto"/>
                  </w:divBdr>
                </w:div>
                <w:div w:id="765079580">
                  <w:marLeft w:val="0"/>
                  <w:marRight w:val="0"/>
                  <w:marTop w:val="0"/>
                  <w:marBottom w:val="0"/>
                  <w:divBdr>
                    <w:top w:val="none" w:sz="0" w:space="0" w:color="auto"/>
                    <w:left w:val="none" w:sz="0" w:space="0" w:color="auto"/>
                    <w:bottom w:val="none" w:sz="0" w:space="0" w:color="auto"/>
                    <w:right w:val="none" w:sz="0" w:space="0" w:color="auto"/>
                  </w:divBdr>
                </w:div>
                <w:div w:id="690766827">
                  <w:marLeft w:val="0"/>
                  <w:marRight w:val="0"/>
                  <w:marTop w:val="0"/>
                  <w:marBottom w:val="0"/>
                  <w:divBdr>
                    <w:top w:val="none" w:sz="0" w:space="0" w:color="auto"/>
                    <w:left w:val="none" w:sz="0" w:space="0" w:color="auto"/>
                    <w:bottom w:val="none" w:sz="0" w:space="0" w:color="auto"/>
                    <w:right w:val="none" w:sz="0" w:space="0" w:color="auto"/>
                  </w:divBdr>
                </w:div>
                <w:div w:id="805899996">
                  <w:marLeft w:val="0"/>
                  <w:marRight w:val="0"/>
                  <w:marTop w:val="0"/>
                  <w:marBottom w:val="0"/>
                  <w:divBdr>
                    <w:top w:val="none" w:sz="0" w:space="0" w:color="auto"/>
                    <w:left w:val="none" w:sz="0" w:space="0" w:color="auto"/>
                    <w:bottom w:val="none" w:sz="0" w:space="0" w:color="auto"/>
                    <w:right w:val="none" w:sz="0" w:space="0" w:color="auto"/>
                  </w:divBdr>
                </w:div>
                <w:div w:id="261963001">
                  <w:marLeft w:val="0"/>
                  <w:marRight w:val="0"/>
                  <w:marTop w:val="0"/>
                  <w:marBottom w:val="0"/>
                  <w:divBdr>
                    <w:top w:val="none" w:sz="0" w:space="0" w:color="auto"/>
                    <w:left w:val="none" w:sz="0" w:space="0" w:color="auto"/>
                    <w:bottom w:val="none" w:sz="0" w:space="0" w:color="auto"/>
                    <w:right w:val="none" w:sz="0" w:space="0" w:color="auto"/>
                  </w:divBdr>
                </w:div>
                <w:div w:id="596595475">
                  <w:marLeft w:val="0"/>
                  <w:marRight w:val="0"/>
                  <w:marTop w:val="0"/>
                  <w:marBottom w:val="0"/>
                  <w:divBdr>
                    <w:top w:val="none" w:sz="0" w:space="0" w:color="auto"/>
                    <w:left w:val="none" w:sz="0" w:space="0" w:color="auto"/>
                    <w:bottom w:val="none" w:sz="0" w:space="0" w:color="auto"/>
                    <w:right w:val="none" w:sz="0" w:space="0" w:color="auto"/>
                  </w:divBdr>
                </w:div>
                <w:div w:id="235172402">
                  <w:marLeft w:val="0"/>
                  <w:marRight w:val="0"/>
                  <w:marTop w:val="0"/>
                  <w:marBottom w:val="0"/>
                  <w:divBdr>
                    <w:top w:val="none" w:sz="0" w:space="0" w:color="auto"/>
                    <w:left w:val="none" w:sz="0" w:space="0" w:color="auto"/>
                    <w:bottom w:val="none" w:sz="0" w:space="0" w:color="auto"/>
                    <w:right w:val="none" w:sz="0" w:space="0" w:color="auto"/>
                  </w:divBdr>
                </w:div>
                <w:div w:id="262154353">
                  <w:marLeft w:val="0"/>
                  <w:marRight w:val="0"/>
                  <w:marTop w:val="0"/>
                  <w:marBottom w:val="0"/>
                  <w:divBdr>
                    <w:top w:val="none" w:sz="0" w:space="0" w:color="auto"/>
                    <w:left w:val="none" w:sz="0" w:space="0" w:color="auto"/>
                    <w:bottom w:val="none" w:sz="0" w:space="0" w:color="auto"/>
                    <w:right w:val="none" w:sz="0" w:space="0" w:color="auto"/>
                  </w:divBdr>
                </w:div>
                <w:div w:id="2080707176">
                  <w:marLeft w:val="0"/>
                  <w:marRight w:val="0"/>
                  <w:marTop w:val="0"/>
                  <w:marBottom w:val="0"/>
                  <w:divBdr>
                    <w:top w:val="none" w:sz="0" w:space="0" w:color="auto"/>
                    <w:left w:val="none" w:sz="0" w:space="0" w:color="auto"/>
                    <w:bottom w:val="none" w:sz="0" w:space="0" w:color="auto"/>
                    <w:right w:val="none" w:sz="0" w:space="0" w:color="auto"/>
                  </w:divBdr>
                </w:div>
                <w:div w:id="717120809">
                  <w:marLeft w:val="0"/>
                  <w:marRight w:val="0"/>
                  <w:marTop w:val="0"/>
                  <w:marBottom w:val="0"/>
                  <w:divBdr>
                    <w:top w:val="none" w:sz="0" w:space="0" w:color="auto"/>
                    <w:left w:val="none" w:sz="0" w:space="0" w:color="auto"/>
                    <w:bottom w:val="none" w:sz="0" w:space="0" w:color="auto"/>
                    <w:right w:val="none" w:sz="0" w:space="0" w:color="auto"/>
                  </w:divBdr>
                </w:div>
                <w:div w:id="1771852183">
                  <w:marLeft w:val="0"/>
                  <w:marRight w:val="0"/>
                  <w:marTop w:val="0"/>
                  <w:marBottom w:val="0"/>
                  <w:divBdr>
                    <w:top w:val="none" w:sz="0" w:space="0" w:color="auto"/>
                    <w:left w:val="none" w:sz="0" w:space="0" w:color="auto"/>
                    <w:bottom w:val="none" w:sz="0" w:space="0" w:color="auto"/>
                    <w:right w:val="none" w:sz="0" w:space="0" w:color="auto"/>
                  </w:divBdr>
                </w:div>
                <w:div w:id="739987119">
                  <w:marLeft w:val="0"/>
                  <w:marRight w:val="0"/>
                  <w:marTop w:val="0"/>
                  <w:marBottom w:val="0"/>
                  <w:divBdr>
                    <w:top w:val="none" w:sz="0" w:space="0" w:color="auto"/>
                    <w:left w:val="none" w:sz="0" w:space="0" w:color="auto"/>
                    <w:bottom w:val="none" w:sz="0" w:space="0" w:color="auto"/>
                    <w:right w:val="none" w:sz="0" w:space="0" w:color="auto"/>
                  </w:divBdr>
                </w:div>
                <w:div w:id="747926316">
                  <w:marLeft w:val="0"/>
                  <w:marRight w:val="0"/>
                  <w:marTop w:val="0"/>
                  <w:marBottom w:val="0"/>
                  <w:divBdr>
                    <w:top w:val="none" w:sz="0" w:space="0" w:color="auto"/>
                    <w:left w:val="none" w:sz="0" w:space="0" w:color="auto"/>
                    <w:bottom w:val="none" w:sz="0" w:space="0" w:color="auto"/>
                    <w:right w:val="none" w:sz="0" w:space="0" w:color="auto"/>
                  </w:divBdr>
                </w:div>
                <w:div w:id="79907955">
                  <w:marLeft w:val="0"/>
                  <w:marRight w:val="0"/>
                  <w:marTop w:val="0"/>
                  <w:marBottom w:val="0"/>
                  <w:divBdr>
                    <w:top w:val="none" w:sz="0" w:space="0" w:color="auto"/>
                    <w:left w:val="none" w:sz="0" w:space="0" w:color="auto"/>
                    <w:bottom w:val="none" w:sz="0" w:space="0" w:color="auto"/>
                    <w:right w:val="none" w:sz="0" w:space="0" w:color="auto"/>
                  </w:divBdr>
                </w:div>
                <w:div w:id="2135520312">
                  <w:marLeft w:val="0"/>
                  <w:marRight w:val="0"/>
                  <w:marTop w:val="0"/>
                  <w:marBottom w:val="0"/>
                  <w:divBdr>
                    <w:top w:val="none" w:sz="0" w:space="0" w:color="auto"/>
                    <w:left w:val="none" w:sz="0" w:space="0" w:color="auto"/>
                    <w:bottom w:val="none" w:sz="0" w:space="0" w:color="auto"/>
                    <w:right w:val="none" w:sz="0" w:space="0" w:color="auto"/>
                  </w:divBdr>
                </w:div>
                <w:div w:id="1176310689">
                  <w:marLeft w:val="0"/>
                  <w:marRight w:val="0"/>
                  <w:marTop w:val="0"/>
                  <w:marBottom w:val="0"/>
                  <w:divBdr>
                    <w:top w:val="none" w:sz="0" w:space="0" w:color="auto"/>
                    <w:left w:val="none" w:sz="0" w:space="0" w:color="auto"/>
                    <w:bottom w:val="none" w:sz="0" w:space="0" w:color="auto"/>
                    <w:right w:val="none" w:sz="0" w:space="0" w:color="auto"/>
                  </w:divBdr>
                </w:div>
                <w:div w:id="557130761">
                  <w:marLeft w:val="0"/>
                  <w:marRight w:val="0"/>
                  <w:marTop w:val="0"/>
                  <w:marBottom w:val="0"/>
                  <w:divBdr>
                    <w:top w:val="none" w:sz="0" w:space="0" w:color="auto"/>
                    <w:left w:val="none" w:sz="0" w:space="0" w:color="auto"/>
                    <w:bottom w:val="none" w:sz="0" w:space="0" w:color="auto"/>
                    <w:right w:val="none" w:sz="0" w:space="0" w:color="auto"/>
                  </w:divBdr>
                </w:div>
                <w:div w:id="1868520060">
                  <w:marLeft w:val="0"/>
                  <w:marRight w:val="0"/>
                  <w:marTop w:val="0"/>
                  <w:marBottom w:val="0"/>
                  <w:divBdr>
                    <w:top w:val="none" w:sz="0" w:space="0" w:color="auto"/>
                    <w:left w:val="none" w:sz="0" w:space="0" w:color="auto"/>
                    <w:bottom w:val="none" w:sz="0" w:space="0" w:color="auto"/>
                    <w:right w:val="none" w:sz="0" w:space="0" w:color="auto"/>
                  </w:divBdr>
                </w:div>
                <w:div w:id="1976447774">
                  <w:marLeft w:val="0"/>
                  <w:marRight w:val="0"/>
                  <w:marTop w:val="0"/>
                  <w:marBottom w:val="0"/>
                  <w:divBdr>
                    <w:top w:val="none" w:sz="0" w:space="0" w:color="auto"/>
                    <w:left w:val="none" w:sz="0" w:space="0" w:color="auto"/>
                    <w:bottom w:val="none" w:sz="0" w:space="0" w:color="auto"/>
                    <w:right w:val="none" w:sz="0" w:space="0" w:color="auto"/>
                  </w:divBdr>
                </w:div>
                <w:div w:id="672879567">
                  <w:marLeft w:val="0"/>
                  <w:marRight w:val="0"/>
                  <w:marTop w:val="0"/>
                  <w:marBottom w:val="0"/>
                  <w:divBdr>
                    <w:top w:val="none" w:sz="0" w:space="0" w:color="auto"/>
                    <w:left w:val="none" w:sz="0" w:space="0" w:color="auto"/>
                    <w:bottom w:val="none" w:sz="0" w:space="0" w:color="auto"/>
                    <w:right w:val="none" w:sz="0" w:space="0" w:color="auto"/>
                  </w:divBdr>
                </w:div>
                <w:div w:id="1470199208">
                  <w:marLeft w:val="0"/>
                  <w:marRight w:val="0"/>
                  <w:marTop w:val="0"/>
                  <w:marBottom w:val="0"/>
                  <w:divBdr>
                    <w:top w:val="none" w:sz="0" w:space="0" w:color="auto"/>
                    <w:left w:val="none" w:sz="0" w:space="0" w:color="auto"/>
                    <w:bottom w:val="none" w:sz="0" w:space="0" w:color="auto"/>
                    <w:right w:val="none" w:sz="0" w:space="0" w:color="auto"/>
                  </w:divBdr>
                </w:div>
                <w:div w:id="1460613662">
                  <w:marLeft w:val="0"/>
                  <w:marRight w:val="0"/>
                  <w:marTop w:val="0"/>
                  <w:marBottom w:val="0"/>
                  <w:divBdr>
                    <w:top w:val="none" w:sz="0" w:space="0" w:color="auto"/>
                    <w:left w:val="none" w:sz="0" w:space="0" w:color="auto"/>
                    <w:bottom w:val="none" w:sz="0" w:space="0" w:color="auto"/>
                    <w:right w:val="none" w:sz="0" w:space="0" w:color="auto"/>
                  </w:divBdr>
                </w:div>
                <w:div w:id="1316757193">
                  <w:marLeft w:val="0"/>
                  <w:marRight w:val="0"/>
                  <w:marTop w:val="0"/>
                  <w:marBottom w:val="0"/>
                  <w:divBdr>
                    <w:top w:val="none" w:sz="0" w:space="0" w:color="auto"/>
                    <w:left w:val="none" w:sz="0" w:space="0" w:color="auto"/>
                    <w:bottom w:val="none" w:sz="0" w:space="0" w:color="auto"/>
                    <w:right w:val="none" w:sz="0" w:space="0" w:color="auto"/>
                  </w:divBdr>
                </w:div>
                <w:div w:id="292097305">
                  <w:marLeft w:val="0"/>
                  <w:marRight w:val="0"/>
                  <w:marTop w:val="0"/>
                  <w:marBottom w:val="0"/>
                  <w:divBdr>
                    <w:top w:val="none" w:sz="0" w:space="0" w:color="auto"/>
                    <w:left w:val="none" w:sz="0" w:space="0" w:color="auto"/>
                    <w:bottom w:val="none" w:sz="0" w:space="0" w:color="auto"/>
                    <w:right w:val="none" w:sz="0" w:space="0" w:color="auto"/>
                  </w:divBdr>
                </w:div>
                <w:div w:id="158694379">
                  <w:marLeft w:val="0"/>
                  <w:marRight w:val="0"/>
                  <w:marTop w:val="0"/>
                  <w:marBottom w:val="0"/>
                  <w:divBdr>
                    <w:top w:val="none" w:sz="0" w:space="0" w:color="auto"/>
                    <w:left w:val="none" w:sz="0" w:space="0" w:color="auto"/>
                    <w:bottom w:val="none" w:sz="0" w:space="0" w:color="auto"/>
                    <w:right w:val="none" w:sz="0" w:space="0" w:color="auto"/>
                  </w:divBdr>
                </w:div>
                <w:div w:id="446699830">
                  <w:marLeft w:val="0"/>
                  <w:marRight w:val="0"/>
                  <w:marTop w:val="0"/>
                  <w:marBottom w:val="0"/>
                  <w:divBdr>
                    <w:top w:val="none" w:sz="0" w:space="0" w:color="auto"/>
                    <w:left w:val="none" w:sz="0" w:space="0" w:color="auto"/>
                    <w:bottom w:val="none" w:sz="0" w:space="0" w:color="auto"/>
                    <w:right w:val="none" w:sz="0" w:space="0" w:color="auto"/>
                  </w:divBdr>
                </w:div>
                <w:div w:id="1237517061">
                  <w:marLeft w:val="0"/>
                  <w:marRight w:val="0"/>
                  <w:marTop w:val="0"/>
                  <w:marBottom w:val="0"/>
                  <w:divBdr>
                    <w:top w:val="none" w:sz="0" w:space="0" w:color="auto"/>
                    <w:left w:val="none" w:sz="0" w:space="0" w:color="auto"/>
                    <w:bottom w:val="none" w:sz="0" w:space="0" w:color="auto"/>
                    <w:right w:val="none" w:sz="0" w:space="0" w:color="auto"/>
                  </w:divBdr>
                </w:div>
                <w:div w:id="1723020759">
                  <w:marLeft w:val="0"/>
                  <w:marRight w:val="0"/>
                  <w:marTop w:val="0"/>
                  <w:marBottom w:val="0"/>
                  <w:divBdr>
                    <w:top w:val="none" w:sz="0" w:space="0" w:color="auto"/>
                    <w:left w:val="none" w:sz="0" w:space="0" w:color="auto"/>
                    <w:bottom w:val="none" w:sz="0" w:space="0" w:color="auto"/>
                    <w:right w:val="none" w:sz="0" w:space="0" w:color="auto"/>
                  </w:divBdr>
                </w:div>
                <w:div w:id="22707857">
                  <w:marLeft w:val="0"/>
                  <w:marRight w:val="0"/>
                  <w:marTop w:val="0"/>
                  <w:marBottom w:val="0"/>
                  <w:divBdr>
                    <w:top w:val="none" w:sz="0" w:space="0" w:color="auto"/>
                    <w:left w:val="none" w:sz="0" w:space="0" w:color="auto"/>
                    <w:bottom w:val="none" w:sz="0" w:space="0" w:color="auto"/>
                    <w:right w:val="none" w:sz="0" w:space="0" w:color="auto"/>
                  </w:divBdr>
                </w:div>
                <w:div w:id="698432456">
                  <w:marLeft w:val="0"/>
                  <w:marRight w:val="0"/>
                  <w:marTop w:val="0"/>
                  <w:marBottom w:val="0"/>
                  <w:divBdr>
                    <w:top w:val="none" w:sz="0" w:space="0" w:color="auto"/>
                    <w:left w:val="none" w:sz="0" w:space="0" w:color="auto"/>
                    <w:bottom w:val="none" w:sz="0" w:space="0" w:color="auto"/>
                    <w:right w:val="none" w:sz="0" w:space="0" w:color="auto"/>
                  </w:divBdr>
                </w:div>
                <w:div w:id="1945263368">
                  <w:marLeft w:val="0"/>
                  <w:marRight w:val="0"/>
                  <w:marTop w:val="0"/>
                  <w:marBottom w:val="0"/>
                  <w:divBdr>
                    <w:top w:val="none" w:sz="0" w:space="0" w:color="auto"/>
                    <w:left w:val="none" w:sz="0" w:space="0" w:color="auto"/>
                    <w:bottom w:val="none" w:sz="0" w:space="0" w:color="auto"/>
                    <w:right w:val="none" w:sz="0" w:space="0" w:color="auto"/>
                  </w:divBdr>
                </w:div>
                <w:div w:id="736905775">
                  <w:marLeft w:val="0"/>
                  <w:marRight w:val="0"/>
                  <w:marTop w:val="0"/>
                  <w:marBottom w:val="0"/>
                  <w:divBdr>
                    <w:top w:val="none" w:sz="0" w:space="0" w:color="auto"/>
                    <w:left w:val="none" w:sz="0" w:space="0" w:color="auto"/>
                    <w:bottom w:val="none" w:sz="0" w:space="0" w:color="auto"/>
                    <w:right w:val="none" w:sz="0" w:space="0" w:color="auto"/>
                  </w:divBdr>
                </w:div>
                <w:div w:id="412118859">
                  <w:marLeft w:val="0"/>
                  <w:marRight w:val="0"/>
                  <w:marTop w:val="0"/>
                  <w:marBottom w:val="0"/>
                  <w:divBdr>
                    <w:top w:val="none" w:sz="0" w:space="0" w:color="auto"/>
                    <w:left w:val="none" w:sz="0" w:space="0" w:color="auto"/>
                    <w:bottom w:val="none" w:sz="0" w:space="0" w:color="auto"/>
                    <w:right w:val="none" w:sz="0" w:space="0" w:color="auto"/>
                  </w:divBdr>
                </w:div>
                <w:div w:id="1059593264">
                  <w:marLeft w:val="0"/>
                  <w:marRight w:val="0"/>
                  <w:marTop w:val="0"/>
                  <w:marBottom w:val="0"/>
                  <w:divBdr>
                    <w:top w:val="none" w:sz="0" w:space="0" w:color="auto"/>
                    <w:left w:val="none" w:sz="0" w:space="0" w:color="auto"/>
                    <w:bottom w:val="none" w:sz="0" w:space="0" w:color="auto"/>
                    <w:right w:val="none" w:sz="0" w:space="0" w:color="auto"/>
                  </w:divBdr>
                </w:div>
                <w:div w:id="1526557983">
                  <w:marLeft w:val="0"/>
                  <w:marRight w:val="0"/>
                  <w:marTop w:val="0"/>
                  <w:marBottom w:val="0"/>
                  <w:divBdr>
                    <w:top w:val="none" w:sz="0" w:space="0" w:color="auto"/>
                    <w:left w:val="none" w:sz="0" w:space="0" w:color="auto"/>
                    <w:bottom w:val="none" w:sz="0" w:space="0" w:color="auto"/>
                    <w:right w:val="none" w:sz="0" w:space="0" w:color="auto"/>
                  </w:divBdr>
                </w:div>
                <w:div w:id="1509827360">
                  <w:marLeft w:val="0"/>
                  <w:marRight w:val="0"/>
                  <w:marTop w:val="0"/>
                  <w:marBottom w:val="0"/>
                  <w:divBdr>
                    <w:top w:val="none" w:sz="0" w:space="0" w:color="auto"/>
                    <w:left w:val="none" w:sz="0" w:space="0" w:color="auto"/>
                    <w:bottom w:val="none" w:sz="0" w:space="0" w:color="auto"/>
                    <w:right w:val="none" w:sz="0" w:space="0" w:color="auto"/>
                  </w:divBdr>
                </w:div>
                <w:div w:id="239828512">
                  <w:marLeft w:val="0"/>
                  <w:marRight w:val="0"/>
                  <w:marTop w:val="0"/>
                  <w:marBottom w:val="0"/>
                  <w:divBdr>
                    <w:top w:val="none" w:sz="0" w:space="0" w:color="auto"/>
                    <w:left w:val="none" w:sz="0" w:space="0" w:color="auto"/>
                    <w:bottom w:val="none" w:sz="0" w:space="0" w:color="auto"/>
                    <w:right w:val="none" w:sz="0" w:space="0" w:color="auto"/>
                  </w:divBdr>
                </w:div>
                <w:div w:id="1068261957">
                  <w:marLeft w:val="0"/>
                  <w:marRight w:val="0"/>
                  <w:marTop w:val="0"/>
                  <w:marBottom w:val="0"/>
                  <w:divBdr>
                    <w:top w:val="none" w:sz="0" w:space="0" w:color="auto"/>
                    <w:left w:val="none" w:sz="0" w:space="0" w:color="auto"/>
                    <w:bottom w:val="none" w:sz="0" w:space="0" w:color="auto"/>
                    <w:right w:val="none" w:sz="0" w:space="0" w:color="auto"/>
                  </w:divBdr>
                </w:div>
                <w:div w:id="290092568">
                  <w:marLeft w:val="0"/>
                  <w:marRight w:val="0"/>
                  <w:marTop w:val="0"/>
                  <w:marBottom w:val="0"/>
                  <w:divBdr>
                    <w:top w:val="none" w:sz="0" w:space="0" w:color="auto"/>
                    <w:left w:val="none" w:sz="0" w:space="0" w:color="auto"/>
                    <w:bottom w:val="none" w:sz="0" w:space="0" w:color="auto"/>
                    <w:right w:val="none" w:sz="0" w:space="0" w:color="auto"/>
                  </w:divBdr>
                </w:div>
                <w:div w:id="605770322">
                  <w:marLeft w:val="0"/>
                  <w:marRight w:val="0"/>
                  <w:marTop w:val="0"/>
                  <w:marBottom w:val="0"/>
                  <w:divBdr>
                    <w:top w:val="none" w:sz="0" w:space="0" w:color="auto"/>
                    <w:left w:val="none" w:sz="0" w:space="0" w:color="auto"/>
                    <w:bottom w:val="none" w:sz="0" w:space="0" w:color="auto"/>
                    <w:right w:val="none" w:sz="0" w:space="0" w:color="auto"/>
                  </w:divBdr>
                </w:div>
                <w:div w:id="1178544433">
                  <w:marLeft w:val="0"/>
                  <w:marRight w:val="0"/>
                  <w:marTop w:val="0"/>
                  <w:marBottom w:val="0"/>
                  <w:divBdr>
                    <w:top w:val="none" w:sz="0" w:space="0" w:color="auto"/>
                    <w:left w:val="none" w:sz="0" w:space="0" w:color="auto"/>
                    <w:bottom w:val="none" w:sz="0" w:space="0" w:color="auto"/>
                    <w:right w:val="none" w:sz="0" w:space="0" w:color="auto"/>
                  </w:divBdr>
                </w:div>
                <w:div w:id="1440370934">
                  <w:marLeft w:val="0"/>
                  <w:marRight w:val="0"/>
                  <w:marTop w:val="0"/>
                  <w:marBottom w:val="0"/>
                  <w:divBdr>
                    <w:top w:val="none" w:sz="0" w:space="0" w:color="auto"/>
                    <w:left w:val="none" w:sz="0" w:space="0" w:color="auto"/>
                    <w:bottom w:val="none" w:sz="0" w:space="0" w:color="auto"/>
                    <w:right w:val="none" w:sz="0" w:space="0" w:color="auto"/>
                  </w:divBdr>
                </w:div>
                <w:div w:id="25836049">
                  <w:marLeft w:val="0"/>
                  <w:marRight w:val="0"/>
                  <w:marTop w:val="0"/>
                  <w:marBottom w:val="0"/>
                  <w:divBdr>
                    <w:top w:val="none" w:sz="0" w:space="0" w:color="auto"/>
                    <w:left w:val="none" w:sz="0" w:space="0" w:color="auto"/>
                    <w:bottom w:val="none" w:sz="0" w:space="0" w:color="auto"/>
                    <w:right w:val="none" w:sz="0" w:space="0" w:color="auto"/>
                  </w:divBdr>
                </w:div>
                <w:div w:id="1166671940">
                  <w:marLeft w:val="0"/>
                  <w:marRight w:val="0"/>
                  <w:marTop w:val="0"/>
                  <w:marBottom w:val="0"/>
                  <w:divBdr>
                    <w:top w:val="none" w:sz="0" w:space="0" w:color="auto"/>
                    <w:left w:val="none" w:sz="0" w:space="0" w:color="auto"/>
                    <w:bottom w:val="none" w:sz="0" w:space="0" w:color="auto"/>
                    <w:right w:val="none" w:sz="0" w:space="0" w:color="auto"/>
                  </w:divBdr>
                </w:div>
                <w:div w:id="937636756">
                  <w:marLeft w:val="0"/>
                  <w:marRight w:val="0"/>
                  <w:marTop w:val="0"/>
                  <w:marBottom w:val="0"/>
                  <w:divBdr>
                    <w:top w:val="none" w:sz="0" w:space="0" w:color="auto"/>
                    <w:left w:val="none" w:sz="0" w:space="0" w:color="auto"/>
                    <w:bottom w:val="none" w:sz="0" w:space="0" w:color="auto"/>
                    <w:right w:val="none" w:sz="0" w:space="0" w:color="auto"/>
                  </w:divBdr>
                </w:div>
                <w:div w:id="1273055939">
                  <w:marLeft w:val="0"/>
                  <w:marRight w:val="0"/>
                  <w:marTop w:val="0"/>
                  <w:marBottom w:val="0"/>
                  <w:divBdr>
                    <w:top w:val="none" w:sz="0" w:space="0" w:color="auto"/>
                    <w:left w:val="none" w:sz="0" w:space="0" w:color="auto"/>
                    <w:bottom w:val="none" w:sz="0" w:space="0" w:color="auto"/>
                    <w:right w:val="none" w:sz="0" w:space="0" w:color="auto"/>
                  </w:divBdr>
                </w:div>
                <w:div w:id="648560039">
                  <w:marLeft w:val="0"/>
                  <w:marRight w:val="0"/>
                  <w:marTop w:val="0"/>
                  <w:marBottom w:val="0"/>
                  <w:divBdr>
                    <w:top w:val="none" w:sz="0" w:space="0" w:color="auto"/>
                    <w:left w:val="none" w:sz="0" w:space="0" w:color="auto"/>
                    <w:bottom w:val="none" w:sz="0" w:space="0" w:color="auto"/>
                    <w:right w:val="none" w:sz="0" w:space="0" w:color="auto"/>
                  </w:divBdr>
                </w:div>
                <w:div w:id="1069691646">
                  <w:marLeft w:val="0"/>
                  <w:marRight w:val="0"/>
                  <w:marTop w:val="0"/>
                  <w:marBottom w:val="0"/>
                  <w:divBdr>
                    <w:top w:val="none" w:sz="0" w:space="0" w:color="auto"/>
                    <w:left w:val="none" w:sz="0" w:space="0" w:color="auto"/>
                    <w:bottom w:val="none" w:sz="0" w:space="0" w:color="auto"/>
                    <w:right w:val="none" w:sz="0" w:space="0" w:color="auto"/>
                  </w:divBdr>
                </w:div>
                <w:div w:id="1080831886">
                  <w:marLeft w:val="0"/>
                  <w:marRight w:val="0"/>
                  <w:marTop w:val="0"/>
                  <w:marBottom w:val="0"/>
                  <w:divBdr>
                    <w:top w:val="none" w:sz="0" w:space="0" w:color="auto"/>
                    <w:left w:val="none" w:sz="0" w:space="0" w:color="auto"/>
                    <w:bottom w:val="none" w:sz="0" w:space="0" w:color="auto"/>
                    <w:right w:val="none" w:sz="0" w:space="0" w:color="auto"/>
                  </w:divBdr>
                </w:div>
                <w:div w:id="1804343843">
                  <w:marLeft w:val="0"/>
                  <w:marRight w:val="0"/>
                  <w:marTop w:val="0"/>
                  <w:marBottom w:val="0"/>
                  <w:divBdr>
                    <w:top w:val="none" w:sz="0" w:space="0" w:color="auto"/>
                    <w:left w:val="none" w:sz="0" w:space="0" w:color="auto"/>
                    <w:bottom w:val="none" w:sz="0" w:space="0" w:color="auto"/>
                    <w:right w:val="none" w:sz="0" w:space="0" w:color="auto"/>
                  </w:divBdr>
                </w:div>
                <w:div w:id="1228539276">
                  <w:marLeft w:val="0"/>
                  <w:marRight w:val="0"/>
                  <w:marTop w:val="0"/>
                  <w:marBottom w:val="0"/>
                  <w:divBdr>
                    <w:top w:val="none" w:sz="0" w:space="0" w:color="auto"/>
                    <w:left w:val="none" w:sz="0" w:space="0" w:color="auto"/>
                    <w:bottom w:val="none" w:sz="0" w:space="0" w:color="auto"/>
                    <w:right w:val="none" w:sz="0" w:space="0" w:color="auto"/>
                  </w:divBdr>
                </w:div>
                <w:div w:id="1502038048">
                  <w:marLeft w:val="0"/>
                  <w:marRight w:val="0"/>
                  <w:marTop w:val="0"/>
                  <w:marBottom w:val="0"/>
                  <w:divBdr>
                    <w:top w:val="none" w:sz="0" w:space="0" w:color="auto"/>
                    <w:left w:val="none" w:sz="0" w:space="0" w:color="auto"/>
                    <w:bottom w:val="none" w:sz="0" w:space="0" w:color="auto"/>
                    <w:right w:val="none" w:sz="0" w:space="0" w:color="auto"/>
                  </w:divBdr>
                </w:div>
                <w:div w:id="128280559">
                  <w:marLeft w:val="0"/>
                  <w:marRight w:val="0"/>
                  <w:marTop w:val="0"/>
                  <w:marBottom w:val="0"/>
                  <w:divBdr>
                    <w:top w:val="none" w:sz="0" w:space="0" w:color="auto"/>
                    <w:left w:val="none" w:sz="0" w:space="0" w:color="auto"/>
                    <w:bottom w:val="none" w:sz="0" w:space="0" w:color="auto"/>
                    <w:right w:val="none" w:sz="0" w:space="0" w:color="auto"/>
                  </w:divBdr>
                </w:div>
                <w:div w:id="1487819931">
                  <w:marLeft w:val="0"/>
                  <w:marRight w:val="0"/>
                  <w:marTop w:val="0"/>
                  <w:marBottom w:val="0"/>
                  <w:divBdr>
                    <w:top w:val="none" w:sz="0" w:space="0" w:color="auto"/>
                    <w:left w:val="none" w:sz="0" w:space="0" w:color="auto"/>
                    <w:bottom w:val="none" w:sz="0" w:space="0" w:color="auto"/>
                    <w:right w:val="none" w:sz="0" w:space="0" w:color="auto"/>
                  </w:divBdr>
                </w:div>
                <w:div w:id="1414202096">
                  <w:marLeft w:val="0"/>
                  <w:marRight w:val="0"/>
                  <w:marTop w:val="0"/>
                  <w:marBottom w:val="0"/>
                  <w:divBdr>
                    <w:top w:val="none" w:sz="0" w:space="0" w:color="auto"/>
                    <w:left w:val="none" w:sz="0" w:space="0" w:color="auto"/>
                    <w:bottom w:val="none" w:sz="0" w:space="0" w:color="auto"/>
                    <w:right w:val="none" w:sz="0" w:space="0" w:color="auto"/>
                  </w:divBdr>
                </w:div>
                <w:div w:id="1272784567">
                  <w:marLeft w:val="0"/>
                  <w:marRight w:val="0"/>
                  <w:marTop w:val="0"/>
                  <w:marBottom w:val="0"/>
                  <w:divBdr>
                    <w:top w:val="none" w:sz="0" w:space="0" w:color="auto"/>
                    <w:left w:val="none" w:sz="0" w:space="0" w:color="auto"/>
                    <w:bottom w:val="none" w:sz="0" w:space="0" w:color="auto"/>
                    <w:right w:val="none" w:sz="0" w:space="0" w:color="auto"/>
                  </w:divBdr>
                </w:div>
                <w:div w:id="1095052229">
                  <w:marLeft w:val="0"/>
                  <w:marRight w:val="0"/>
                  <w:marTop w:val="0"/>
                  <w:marBottom w:val="0"/>
                  <w:divBdr>
                    <w:top w:val="none" w:sz="0" w:space="0" w:color="auto"/>
                    <w:left w:val="none" w:sz="0" w:space="0" w:color="auto"/>
                    <w:bottom w:val="none" w:sz="0" w:space="0" w:color="auto"/>
                    <w:right w:val="none" w:sz="0" w:space="0" w:color="auto"/>
                  </w:divBdr>
                </w:div>
                <w:div w:id="865558232">
                  <w:marLeft w:val="0"/>
                  <w:marRight w:val="0"/>
                  <w:marTop w:val="0"/>
                  <w:marBottom w:val="0"/>
                  <w:divBdr>
                    <w:top w:val="none" w:sz="0" w:space="0" w:color="auto"/>
                    <w:left w:val="none" w:sz="0" w:space="0" w:color="auto"/>
                    <w:bottom w:val="none" w:sz="0" w:space="0" w:color="auto"/>
                    <w:right w:val="none" w:sz="0" w:space="0" w:color="auto"/>
                  </w:divBdr>
                </w:div>
                <w:div w:id="574167440">
                  <w:marLeft w:val="0"/>
                  <w:marRight w:val="0"/>
                  <w:marTop w:val="0"/>
                  <w:marBottom w:val="0"/>
                  <w:divBdr>
                    <w:top w:val="none" w:sz="0" w:space="0" w:color="auto"/>
                    <w:left w:val="none" w:sz="0" w:space="0" w:color="auto"/>
                    <w:bottom w:val="none" w:sz="0" w:space="0" w:color="auto"/>
                    <w:right w:val="none" w:sz="0" w:space="0" w:color="auto"/>
                  </w:divBdr>
                </w:div>
                <w:div w:id="1267998551">
                  <w:marLeft w:val="0"/>
                  <w:marRight w:val="0"/>
                  <w:marTop w:val="0"/>
                  <w:marBottom w:val="0"/>
                  <w:divBdr>
                    <w:top w:val="none" w:sz="0" w:space="0" w:color="auto"/>
                    <w:left w:val="none" w:sz="0" w:space="0" w:color="auto"/>
                    <w:bottom w:val="none" w:sz="0" w:space="0" w:color="auto"/>
                    <w:right w:val="none" w:sz="0" w:space="0" w:color="auto"/>
                  </w:divBdr>
                </w:div>
                <w:div w:id="1427656311">
                  <w:marLeft w:val="0"/>
                  <w:marRight w:val="0"/>
                  <w:marTop w:val="0"/>
                  <w:marBottom w:val="0"/>
                  <w:divBdr>
                    <w:top w:val="none" w:sz="0" w:space="0" w:color="auto"/>
                    <w:left w:val="none" w:sz="0" w:space="0" w:color="auto"/>
                    <w:bottom w:val="none" w:sz="0" w:space="0" w:color="auto"/>
                    <w:right w:val="none" w:sz="0" w:space="0" w:color="auto"/>
                  </w:divBdr>
                </w:div>
                <w:div w:id="1547064664">
                  <w:marLeft w:val="0"/>
                  <w:marRight w:val="0"/>
                  <w:marTop w:val="0"/>
                  <w:marBottom w:val="0"/>
                  <w:divBdr>
                    <w:top w:val="none" w:sz="0" w:space="0" w:color="auto"/>
                    <w:left w:val="none" w:sz="0" w:space="0" w:color="auto"/>
                    <w:bottom w:val="none" w:sz="0" w:space="0" w:color="auto"/>
                    <w:right w:val="none" w:sz="0" w:space="0" w:color="auto"/>
                  </w:divBdr>
                </w:div>
                <w:div w:id="603536913">
                  <w:marLeft w:val="0"/>
                  <w:marRight w:val="0"/>
                  <w:marTop w:val="0"/>
                  <w:marBottom w:val="0"/>
                  <w:divBdr>
                    <w:top w:val="none" w:sz="0" w:space="0" w:color="auto"/>
                    <w:left w:val="none" w:sz="0" w:space="0" w:color="auto"/>
                    <w:bottom w:val="none" w:sz="0" w:space="0" w:color="auto"/>
                    <w:right w:val="none" w:sz="0" w:space="0" w:color="auto"/>
                  </w:divBdr>
                </w:div>
                <w:div w:id="789860140">
                  <w:marLeft w:val="0"/>
                  <w:marRight w:val="0"/>
                  <w:marTop w:val="0"/>
                  <w:marBottom w:val="0"/>
                  <w:divBdr>
                    <w:top w:val="none" w:sz="0" w:space="0" w:color="auto"/>
                    <w:left w:val="none" w:sz="0" w:space="0" w:color="auto"/>
                    <w:bottom w:val="none" w:sz="0" w:space="0" w:color="auto"/>
                    <w:right w:val="none" w:sz="0" w:space="0" w:color="auto"/>
                  </w:divBdr>
                </w:div>
                <w:div w:id="1610703350">
                  <w:marLeft w:val="0"/>
                  <w:marRight w:val="0"/>
                  <w:marTop w:val="0"/>
                  <w:marBottom w:val="0"/>
                  <w:divBdr>
                    <w:top w:val="none" w:sz="0" w:space="0" w:color="auto"/>
                    <w:left w:val="none" w:sz="0" w:space="0" w:color="auto"/>
                    <w:bottom w:val="none" w:sz="0" w:space="0" w:color="auto"/>
                    <w:right w:val="none" w:sz="0" w:space="0" w:color="auto"/>
                  </w:divBdr>
                </w:div>
                <w:div w:id="1070343483">
                  <w:marLeft w:val="0"/>
                  <w:marRight w:val="0"/>
                  <w:marTop w:val="0"/>
                  <w:marBottom w:val="0"/>
                  <w:divBdr>
                    <w:top w:val="none" w:sz="0" w:space="0" w:color="auto"/>
                    <w:left w:val="none" w:sz="0" w:space="0" w:color="auto"/>
                    <w:bottom w:val="none" w:sz="0" w:space="0" w:color="auto"/>
                    <w:right w:val="none" w:sz="0" w:space="0" w:color="auto"/>
                  </w:divBdr>
                </w:div>
                <w:div w:id="1714303764">
                  <w:marLeft w:val="0"/>
                  <w:marRight w:val="0"/>
                  <w:marTop w:val="0"/>
                  <w:marBottom w:val="0"/>
                  <w:divBdr>
                    <w:top w:val="none" w:sz="0" w:space="0" w:color="auto"/>
                    <w:left w:val="none" w:sz="0" w:space="0" w:color="auto"/>
                    <w:bottom w:val="none" w:sz="0" w:space="0" w:color="auto"/>
                    <w:right w:val="none" w:sz="0" w:space="0" w:color="auto"/>
                  </w:divBdr>
                </w:div>
                <w:div w:id="637540302">
                  <w:marLeft w:val="0"/>
                  <w:marRight w:val="0"/>
                  <w:marTop w:val="0"/>
                  <w:marBottom w:val="0"/>
                  <w:divBdr>
                    <w:top w:val="none" w:sz="0" w:space="0" w:color="auto"/>
                    <w:left w:val="none" w:sz="0" w:space="0" w:color="auto"/>
                    <w:bottom w:val="none" w:sz="0" w:space="0" w:color="auto"/>
                    <w:right w:val="none" w:sz="0" w:space="0" w:color="auto"/>
                  </w:divBdr>
                </w:div>
                <w:div w:id="1370033685">
                  <w:marLeft w:val="0"/>
                  <w:marRight w:val="0"/>
                  <w:marTop w:val="0"/>
                  <w:marBottom w:val="0"/>
                  <w:divBdr>
                    <w:top w:val="none" w:sz="0" w:space="0" w:color="auto"/>
                    <w:left w:val="none" w:sz="0" w:space="0" w:color="auto"/>
                    <w:bottom w:val="none" w:sz="0" w:space="0" w:color="auto"/>
                    <w:right w:val="none" w:sz="0" w:space="0" w:color="auto"/>
                  </w:divBdr>
                </w:div>
                <w:div w:id="1217277432">
                  <w:marLeft w:val="0"/>
                  <w:marRight w:val="0"/>
                  <w:marTop w:val="0"/>
                  <w:marBottom w:val="0"/>
                  <w:divBdr>
                    <w:top w:val="none" w:sz="0" w:space="0" w:color="auto"/>
                    <w:left w:val="none" w:sz="0" w:space="0" w:color="auto"/>
                    <w:bottom w:val="none" w:sz="0" w:space="0" w:color="auto"/>
                    <w:right w:val="none" w:sz="0" w:space="0" w:color="auto"/>
                  </w:divBdr>
                </w:div>
                <w:div w:id="246614781">
                  <w:marLeft w:val="0"/>
                  <w:marRight w:val="0"/>
                  <w:marTop w:val="0"/>
                  <w:marBottom w:val="0"/>
                  <w:divBdr>
                    <w:top w:val="none" w:sz="0" w:space="0" w:color="auto"/>
                    <w:left w:val="none" w:sz="0" w:space="0" w:color="auto"/>
                    <w:bottom w:val="none" w:sz="0" w:space="0" w:color="auto"/>
                    <w:right w:val="none" w:sz="0" w:space="0" w:color="auto"/>
                  </w:divBdr>
                </w:div>
                <w:div w:id="661660686">
                  <w:marLeft w:val="0"/>
                  <w:marRight w:val="0"/>
                  <w:marTop w:val="0"/>
                  <w:marBottom w:val="0"/>
                  <w:divBdr>
                    <w:top w:val="none" w:sz="0" w:space="0" w:color="auto"/>
                    <w:left w:val="none" w:sz="0" w:space="0" w:color="auto"/>
                    <w:bottom w:val="none" w:sz="0" w:space="0" w:color="auto"/>
                    <w:right w:val="none" w:sz="0" w:space="0" w:color="auto"/>
                  </w:divBdr>
                </w:div>
                <w:div w:id="1182817082">
                  <w:marLeft w:val="0"/>
                  <w:marRight w:val="0"/>
                  <w:marTop w:val="0"/>
                  <w:marBottom w:val="0"/>
                  <w:divBdr>
                    <w:top w:val="none" w:sz="0" w:space="0" w:color="auto"/>
                    <w:left w:val="none" w:sz="0" w:space="0" w:color="auto"/>
                    <w:bottom w:val="none" w:sz="0" w:space="0" w:color="auto"/>
                    <w:right w:val="none" w:sz="0" w:space="0" w:color="auto"/>
                  </w:divBdr>
                </w:div>
                <w:div w:id="1415975993">
                  <w:marLeft w:val="0"/>
                  <w:marRight w:val="0"/>
                  <w:marTop w:val="0"/>
                  <w:marBottom w:val="0"/>
                  <w:divBdr>
                    <w:top w:val="none" w:sz="0" w:space="0" w:color="auto"/>
                    <w:left w:val="none" w:sz="0" w:space="0" w:color="auto"/>
                    <w:bottom w:val="none" w:sz="0" w:space="0" w:color="auto"/>
                    <w:right w:val="none" w:sz="0" w:space="0" w:color="auto"/>
                  </w:divBdr>
                </w:div>
                <w:div w:id="1414542963">
                  <w:marLeft w:val="0"/>
                  <w:marRight w:val="0"/>
                  <w:marTop w:val="0"/>
                  <w:marBottom w:val="0"/>
                  <w:divBdr>
                    <w:top w:val="none" w:sz="0" w:space="0" w:color="auto"/>
                    <w:left w:val="none" w:sz="0" w:space="0" w:color="auto"/>
                    <w:bottom w:val="none" w:sz="0" w:space="0" w:color="auto"/>
                    <w:right w:val="none" w:sz="0" w:space="0" w:color="auto"/>
                  </w:divBdr>
                </w:div>
                <w:div w:id="2131974592">
                  <w:marLeft w:val="0"/>
                  <w:marRight w:val="0"/>
                  <w:marTop w:val="0"/>
                  <w:marBottom w:val="0"/>
                  <w:divBdr>
                    <w:top w:val="none" w:sz="0" w:space="0" w:color="auto"/>
                    <w:left w:val="none" w:sz="0" w:space="0" w:color="auto"/>
                    <w:bottom w:val="none" w:sz="0" w:space="0" w:color="auto"/>
                    <w:right w:val="none" w:sz="0" w:space="0" w:color="auto"/>
                  </w:divBdr>
                </w:div>
                <w:div w:id="1029332390">
                  <w:marLeft w:val="0"/>
                  <w:marRight w:val="0"/>
                  <w:marTop w:val="0"/>
                  <w:marBottom w:val="0"/>
                  <w:divBdr>
                    <w:top w:val="none" w:sz="0" w:space="0" w:color="auto"/>
                    <w:left w:val="none" w:sz="0" w:space="0" w:color="auto"/>
                    <w:bottom w:val="none" w:sz="0" w:space="0" w:color="auto"/>
                    <w:right w:val="none" w:sz="0" w:space="0" w:color="auto"/>
                  </w:divBdr>
                </w:div>
                <w:div w:id="1445077816">
                  <w:marLeft w:val="0"/>
                  <w:marRight w:val="0"/>
                  <w:marTop w:val="0"/>
                  <w:marBottom w:val="0"/>
                  <w:divBdr>
                    <w:top w:val="none" w:sz="0" w:space="0" w:color="auto"/>
                    <w:left w:val="none" w:sz="0" w:space="0" w:color="auto"/>
                    <w:bottom w:val="none" w:sz="0" w:space="0" w:color="auto"/>
                    <w:right w:val="none" w:sz="0" w:space="0" w:color="auto"/>
                  </w:divBdr>
                </w:div>
                <w:div w:id="666054000">
                  <w:marLeft w:val="0"/>
                  <w:marRight w:val="0"/>
                  <w:marTop w:val="0"/>
                  <w:marBottom w:val="0"/>
                  <w:divBdr>
                    <w:top w:val="none" w:sz="0" w:space="0" w:color="auto"/>
                    <w:left w:val="none" w:sz="0" w:space="0" w:color="auto"/>
                    <w:bottom w:val="none" w:sz="0" w:space="0" w:color="auto"/>
                    <w:right w:val="none" w:sz="0" w:space="0" w:color="auto"/>
                  </w:divBdr>
                </w:div>
                <w:div w:id="949043805">
                  <w:marLeft w:val="0"/>
                  <w:marRight w:val="0"/>
                  <w:marTop w:val="0"/>
                  <w:marBottom w:val="0"/>
                  <w:divBdr>
                    <w:top w:val="none" w:sz="0" w:space="0" w:color="auto"/>
                    <w:left w:val="none" w:sz="0" w:space="0" w:color="auto"/>
                    <w:bottom w:val="none" w:sz="0" w:space="0" w:color="auto"/>
                    <w:right w:val="none" w:sz="0" w:space="0" w:color="auto"/>
                  </w:divBdr>
                </w:div>
                <w:div w:id="2098138254">
                  <w:marLeft w:val="0"/>
                  <w:marRight w:val="0"/>
                  <w:marTop w:val="0"/>
                  <w:marBottom w:val="0"/>
                  <w:divBdr>
                    <w:top w:val="none" w:sz="0" w:space="0" w:color="auto"/>
                    <w:left w:val="none" w:sz="0" w:space="0" w:color="auto"/>
                    <w:bottom w:val="none" w:sz="0" w:space="0" w:color="auto"/>
                    <w:right w:val="none" w:sz="0" w:space="0" w:color="auto"/>
                  </w:divBdr>
                </w:div>
                <w:div w:id="589311353">
                  <w:marLeft w:val="0"/>
                  <w:marRight w:val="0"/>
                  <w:marTop w:val="0"/>
                  <w:marBottom w:val="0"/>
                  <w:divBdr>
                    <w:top w:val="none" w:sz="0" w:space="0" w:color="auto"/>
                    <w:left w:val="none" w:sz="0" w:space="0" w:color="auto"/>
                    <w:bottom w:val="none" w:sz="0" w:space="0" w:color="auto"/>
                    <w:right w:val="none" w:sz="0" w:space="0" w:color="auto"/>
                  </w:divBdr>
                </w:div>
                <w:div w:id="425276154">
                  <w:marLeft w:val="0"/>
                  <w:marRight w:val="0"/>
                  <w:marTop w:val="0"/>
                  <w:marBottom w:val="0"/>
                  <w:divBdr>
                    <w:top w:val="none" w:sz="0" w:space="0" w:color="auto"/>
                    <w:left w:val="none" w:sz="0" w:space="0" w:color="auto"/>
                    <w:bottom w:val="none" w:sz="0" w:space="0" w:color="auto"/>
                    <w:right w:val="none" w:sz="0" w:space="0" w:color="auto"/>
                  </w:divBdr>
                </w:div>
                <w:div w:id="766730370">
                  <w:marLeft w:val="0"/>
                  <w:marRight w:val="0"/>
                  <w:marTop w:val="0"/>
                  <w:marBottom w:val="0"/>
                  <w:divBdr>
                    <w:top w:val="none" w:sz="0" w:space="0" w:color="auto"/>
                    <w:left w:val="none" w:sz="0" w:space="0" w:color="auto"/>
                    <w:bottom w:val="none" w:sz="0" w:space="0" w:color="auto"/>
                    <w:right w:val="none" w:sz="0" w:space="0" w:color="auto"/>
                  </w:divBdr>
                </w:div>
                <w:div w:id="1906916677">
                  <w:marLeft w:val="0"/>
                  <w:marRight w:val="0"/>
                  <w:marTop w:val="0"/>
                  <w:marBottom w:val="0"/>
                  <w:divBdr>
                    <w:top w:val="none" w:sz="0" w:space="0" w:color="auto"/>
                    <w:left w:val="none" w:sz="0" w:space="0" w:color="auto"/>
                    <w:bottom w:val="none" w:sz="0" w:space="0" w:color="auto"/>
                    <w:right w:val="none" w:sz="0" w:space="0" w:color="auto"/>
                  </w:divBdr>
                </w:div>
                <w:div w:id="472870067">
                  <w:marLeft w:val="0"/>
                  <w:marRight w:val="0"/>
                  <w:marTop w:val="0"/>
                  <w:marBottom w:val="0"/>
                  <w:divBdr>
                    <w:top w:val="none" w:sz="0" w:space="0" w:color="auto"/>
                    <w:left w:val="none" w:sz="0" w:space="0" w:color="auto"/>
                    <w:bottom w:val="none" w:sz="0" w:space="0" w:color="auto"/>
                    <w:right w:val="none" w:sz="0" w:space="0" w:color="auto"/>
                  </w:divBdr>
                </w:div>
                <w:div w:id="847867846">
                  <w:marLeft w:val="0"/>
                  <w:marRight w:val="0"/>
                  <w:marTop w:val="0"/>
                  <w:marBottom w:val="0"/>
                  <w:divBdr>
                    <w:top w:val="none" w:sz="0" w:space="0" w:color="auto"/>
                    <w:left w:val="none" w:sz="0" w:space="0" w:color="auto"/>
                    <w:bottom w:val="none" w:sz="0" w:space="0" w:color="auto"/>
                    <w:right w:val="none" w:sz="0" w:space="0" w:color="auto"/>
                  </w:divBdr>
                </w:div>
                <w:div w:id="442769885">
                  <w:marLeft w:val="0"/>
                  <w:marRight w:val="0"/>
                  <w:marTop w:val="0"/>
                  <w:marBottom w:val="0"/>
                  <w:divBdr>
                    <w:top w:val="none" w:sz="0" w:space="0" w:color="auto"/>
                    <w:left w:val="none" w:sz="0" w:space="0" w:color="auto"/>
                    <w:bottom w:val="none" w:sz="0" w:space="0" w:color="auto"/>
                    <w:right w:val="none" w:sz="0" w:space="0" w:color="auto"/>
                  </w:divBdr>
                </w:div>
                <w:div w:id="1012489270">
                  <w:marLeft w:val="0"/>
                  <w:marRight w:val="0"/>
                  <w:marTop w:val="0"/>
                  <w:marBottom w:val="0"/>
                  <w:divBdr>
                    <w:top w:val="none" w:sz="0" w:space="0" w:color="auto"/>
                    <w:left w:val="none" w:sz="0" w:space="0" w:color="auto"/>
                    <w:bottom w:val="none" w:sz="0" w:space="0" w:color="auto"/>
                    <w:right w:val="none" w:sz="0" w:space="0" w:color="auto"/>
                  </w:divBdr>
                </w:div>
                <w:div w:id="864635687">
                  <w:marLeft w:val="0"/>
                  <w:marRight w:val="0"/>
                  <w:marTop w:val="0"/>
                  <w:marBottom w:val="0"/>
                  <w:divBdr>
                    <w:top w:val="none" w:sz="0" w:space="0" w:color="auto"/>
                    <w:left w:val="none" w:sz="0" w:space="0" w:color="auto"/>
                    <w:bottom w:val="none" w:sz="0" w:space="0" w:color="auto"/>
                    <w:right w:val="none" w:sz="0" w:space="0" w:color="auto"/>
                  </w:divBdr>
                </w:div>
                <w:div w:id="984892833">
                  <w:marLeft w:val="0"/>
                  <w:marRight w:val="0"/>
                  <w:marTop w:val="0"/>
                  <w:marBottom w:val="0"/>
                  <w:divBdr>
                    <w:top w:val="none" w:sz="0" w:space="0" w:color="auto"/>
                    <w:left w:val="none" w:sz="0" w:space="0" w:color="auto"/>
                    <w:bottom w:val="none" w:sz="0" w:space="0" w:color="auto"/>
                    <w:right w:val="none" w:sz="0" w:space="0" w:color="auto"/>
                  </w:divBdr>
                </w:div>
                <w:div w:id="1588349122">
                  <w:marLeft w:val="0"/>
                  <w:marRight w:val="0"/>
                  <w:marTop w:val="0"/>
                  <w:marBottom w:val="0"/>
                  <w:divBdr>
                    <w:top w:val="none" w:sz="0" w:space="0" w:color="auto"/>
                    <w:left w:val="none" w:sz="0" w:space="0" w:color="auto"/>
                    <w:bottom w:val="none" w:sz="0" w:space="0" w:color="auto"/>
                    <w:right w:val="none" w:sz="0" w:space="0" w:color="auto"/>
                  </w:divBdr>
                </w:div>
                <w:div w:id="1745830539">
                  <w:marLeft w:val="0"/>
                  <w:marRight w:val="0"/>
                  <w:marTop w:val="0"/>
                  <w:marBottom w:val="0"/>
                  <w:divBdr>
                    <w:top w:val="none" w:sz="0" w:space="0" w:color="auto"/>
                    <w:left w:val="none" w:sz="0" w:space="0" w:color="auto"/>
                    <w:bottom w:val="none" w:sz="0" w:space="0" w:color="auto"/>
                    <w:right w:val="none" w:sz="0" w:space="0" w:color="auto"/>
                  </w:divBdr>
                </w:div>
                <w:div w:id="1561213426">
                  <w:marLeft w:val="0"/>
                  <w:marRight w:val="0"/>
                  <w:marTop w:val="0"/>
                  <w:marBottom w:val="0"/>
                  <w:divBdr>
                    <w:top w:val="none" w:sz="0" w:space="0" w:color="auto"/>
                    <w:left w:val="none" w:sz="0" w:space="0" w:color="auto"/>
                    <w:bottom w:val="none" w:sz="0" w:space="0" w:color="auto"/>
                    <w:right w:val="none" w:sz="0" w:space="0" w:color="auto"/>
                  </w:divBdr>
                </w:div>
                <w:div w:id="325325883">
                  <w:marLeft w:val="0"/>
                  <w:marRight w:val="0"/>
                  <w:marTop w:val="0"/>
                  <w:marBottom w:val="0"/>
                  <w:divBdr>
                    <w:top w:val="none" w:sz="0" w:space="0" w:color="auto"/>
                    <w:left w:val="none" w:sz="0" w:space="0" w:color="auto"/>
                    <w:bottom w:val="none" w:sz="0" w:space="0" w:color="auto"/>
                    <w:right w:val="none" w:sz="0" w:space="0" w:color="auto"/>
                  </w:divBdr>
                </w:div>
                <w:div w:id="576938006">
                  <w:marLeft w:val="0"/>
                  <w:marRight w:val="0"/>
                  <w:marTop w:val="0"/>
                  <w:marBottom w:val="0"/>
                  <w:divBdr>
                    <w:top w:val="none" w:sz="0" w:space="0" w:color="auto"/>
                    <w:left w:val="none" w:sz="0" w:space="0" w:color="auto"/>
                    <w:bottom w:val="none" w:sz="0" w:space="0" w:color="auto"/>
                    <w:right w:val="none" w:sz="0" w:space="0" w:color="auto"/>
                  </w:divBdr>
                </w:div>
                <w:div w:id="1054041261">
                  <w:marLeft w:val="0"/>
                  <w:marRight w:val="0"/>
                  <w:marTop w:val="0"/>
                  <w:marBottom w:val="0"/>
                  <w:divBdr>
                    <w:top w:val="none" w:sz="0" w:space="0" w:color="auto"/>
                    <w:left w:val="none" w:sz="0" w:space="0" w:color="auto"/>
                    <w:bottom w:val="none" w:sz="0" w:space="0" w:color="auto"/>
                    <w:right w:val="none" w:sz="0" w:space="0" w:color="auto"/>
                  </w:divBdr>
                </w:div>
                <w:div w:id="1585845992">
                  <w:marLeft w:val="0"/>
                  <w:marRight w:val="0"/>
                  <w:marTop w:val="0"/>
                  <w:marBottom w:val="0"/>
                  <w:divBdr>
                    <w:top w:val="none" w:sz="0" w:space="0" w:color="auto"/>
                    <w:left w:val="none" w:sz="0" w:space="0" w:color="auto"/>
                    <w:bottom w:val="none" w:sz="0" w:space="0" w:color="auto"/>
                    <w:right w:val="none" w:sz="0" w:space="0" w:color="auto"/>
                  </w:divBdr>
                </w:div>
                <w:div w:id="1042442926">
                  <w:marLeft w:val="0"/>
                  <w:marRight w:val="0"/>
                  <w:marTop w:val="0"/>
                  <w:marBottom w:val="0"/>
                  <w:divBdr>
                    <w:top w:val="none" w:sz="0" w:space="0" w:color="auto"/>
                    <w:left w:val="none" w:sz="0" w:space="0" w:color="auto"/>
                    <w:bottom w:val="none" w:sz="0" w:space="0" w:color="auto"/>
                    <w:right w:val="none" w:sz="0" w:space="0" w:color="auto"/>
                  </w:divBdr>
                </w:div>
                <w:div w:id="838891770">
                  <w:marLeft w:val="0"/>
                  <w:marRight w:val="0"/>
                  <w:marTop w:val="0"/>
                  <w:marBottom w:val="0"/>
                  <w:divBdr>
                    <w:top w:val="none" w:sz="0" w:space="0" w:color="auto"/>
                    <w:left w:val="none" w:sz="0" w:space="0" w:color="auto"/>
                    <w:bottom w:val="none" w:sz="0" w:space="0" w:color="auto"/>
                    <w:right w:val="none" w:sz="0" w:space="0" w:color="auto"/>
                  </w:divBdr>
                </w:div>
                <w:div w:id="756365530">
                  <w:marLeft w:val="0"/>
                  <w:marRight w:val="0"/>
                  <w:marTop w:val="0"/>
                  <w:marBottom w:val="0"/>
                  <w:divBdr>
                    <w:top w:val="none" w:sz="0" w:space="0" w:color="auto"/>
                    <w:left w:val="none" w:sz="0" w:space="0" w:color="auto"/>
                    <w:bottom w:val="none" w:sz="0" w:space="0" w:color="auto"/>
                    <w:right w:val="none" w:sz="0" w:space="0" w:color="auto"/>
                  </w:divBdr>
                </w:div>
                <w:div w:id="551114010">
                  <w:marLeft w:val="0"/>
                  <w:marRight w:val="0"/>
                  <w:marTop w:val="0"/>
                  <w:marBottom w:val="0"/>
                  <w:divBdr>
                    <w:top w:val="none" w:sz="0" w:space="0" w:color="auto"/>
                    <w:left w:val="none" w:sz="0" w:space="0" w:color="auto"/>
                    <w:bottom w:val="none" w:sz="0" w:space="0" w:color="auto"/>
                    <w:right w:val="none" w:sz="0" w:space="0" w:color="auto"/>
                  </w:divBdr>
                </w:div>
                <w:div w:id="1809594018">
                  <w:marLeft w:val="0"/>
                  <w:marRight w:val="0"/>
                  <w:marTop w:val="0"/>
                  <w:marBottom w:val="0"/>
                  <w:divBdr>
                    <w:top w:val="none" w:sz="0" w:space="0" w:color="auto"/>
                    <w:left w:val="none" w:sz="0" w:space="0" w:color="auto"/>
                    <w:bottom w:val="none" w:sz="0" w:space="0" w:color="auto"/>
                    <w:right w:val="none" w:sz="0" w:space="0" w:color="auto"/>
                  </w:divBdr>
                </w:div>
                <w:div w:id="212809985">
                  <w:marLeft w:val="0"/>
                  <w:marRight w:val="0"/>
                  <w:marTop w:val="0"/>
                  <w:marBottom w:val="0"/>
                  <w:divBdr>
                    <w:top w:val="none" w:sz="0" w:space="0" w:color="auto"/>
                    <w:left w:val="none" w:sz="0" w:space="0" w:color="auto"/>
                    <w:bottom w:val="none" w:sz="0" w:space="0" w:color="auto"/>
                    <w:right w:val="none" w:sz="0" w:space="0" w:color="auto"/>
                  </w:divBdr>
                </w:div>
                <w:div w:id="18826118">
                  <w:marLeft w:val="0"/>
                  <w:marRight w:val="0"/>
                  <w:marTop w:val="0"/>
                  <w:marBottom w:val="0"/>
                  <w:divBdr>
                    <w:top w:val="none" w:sz="0" w:space="0" w:color="auto"/>
                    <w:left w:val="none" w:sz="0" w:space="0" w:color="auto"/>
                    <w:bottom w:val="none" w:sz="0" w:space="0" w:color="auto"/>
                    <w:right w:val="none" w:sz="0" w:space="0" w:color="auto"/>
                  </w:divBdr>
                </w:div>
                <w:div w:id="235553490">
                  <w:marLeft w:val="0"/>
                  <w:marRight w:val="0"/>
                  <w:marTop w:val="0"/>
                  <w:marBottom w:val="0"/>
                  <w:divBdr>
                    <w:top w:val="none" w:sz="0" w:space="0" w:color="auto"/>
                    <w:left w:val="none" w:sz="0" w:space="0" w:color="auto"/>
                    <w:bottom w:val="none" w:sz="0" w:space="0" w:color="auto"/>
                    <w:right w:val="none" w:sz="0" w:space="0" w:color="auto"/>
                  </w:divBdr>
                </w:div>
                <w:div w:id="548416538">
                  <w:marLeft w:val="0"/>
                  <w:marRight w:val="0"/>
                  <w:marTop w:val="0"/>
                  <w:marBottom w:val="0"/>
                  <w:divBdr>
                    <w:top w:val="none" w:sz="0" w:space="0" w:color="auto"/>
                    <w:left w:val="none" w:sz="0" w:space="0" w:color="auto"/>
                    <w:bottom w:val="none" w:sz="0" w:space="0" w:color="auto"/>
                    <w:right w:val="none" w:sz="0" w:space="0" w:color="auto"/>
                  </w:divBdr>
                </w:div>
                <w:div w:id="14036978">
                  <w:marLeft w:val="0"/>
                  <w:marRight w:val="0"/>
                  <w:marTop w:val="0"/>
                  <w:marBottom w:val="0"/>
                  <w:divBdr>
                    <w:top w:val="none" w:sz="0" w:space="0" w:color="auto"/>
                    <w:left w:val="none" w:sz="0" w:space="0" w:color="auto"/>
                    <w:bottom w:val="none" w:sz="0" w:space="0" w:color="auto"/>
                    <w:right w:val="none" w:sz="0" w:space="0" w:color="auto"/>
                  </w:divBdr>
                </w:div>
                <w:div w:id="1760904647">
                  <w:marLeft w:val="0"/>
                  <w:marRight w:val="0"/>
                  <w:marTop w:val="0"/>
                  <w:marBottom w:val="0"/>
                  <w:divBdr>
                    <w:top w:val="none" w:sz="0" w:space="0" w:color="auto"/>
                    <w:left w:val="none" w:sz="0" w:space="0" w:color="auto"/>
                    <w:bottom w:val="none" w:sz="0" w:space="0" w:color="auto"/>
                    <w:right w:val="none" w:sz="0" w:space="0" w:color="auto"/>
                  </w:divBdr>
                </w:div>
                <w:div w:id="268782110">
                  <w:marLeft w:val="0"/>
                  <w:marRight w:val="0"/>
                  <w:marTop w:val="0"/>
                  <w:marBottom w:val="0"/>
                  <w:divBdr>
                    <w:top w:val="none" w:sz="0" w:space="0" w:color="auto"/>
                    <w:left w:val="none" w:sz="0" w:space="0" w:color="auto"/>
                    <w:bottom w:val="none" w:sz="0" w:space="0" w:color="auto"/>
                    <w:right w:val="none" w:sz="0" w:space="0" w:color="auto"/>
                  </w:divBdr>
                </w:div>
                <w:div w:id="2049260265">
                  <w:marLeft w:val="0"/>
                  <w:marRight w:val="0"/>
                  <w:marTop w:val="0"/>
                  <w:marBottom w:val="0"/>
                  <w:divBdr>
                    <w:top w:val="none" w:sz="0" w:space="0" w:color="auto"/>
                    <w:left w:val="none" w:sz="0" w:space="0" w:color="auto"/>
                    <w:bottom w:val="none" w:sz="0" w:space="0" w:color="auto"/>
                    <w:right w:val="none" w:sz="0" w:space="0" w:color="auto"/>
                  </w:divBdr>
                </w:div>
                <w:div w:id="178398362">
                  <w:marLeft w:val="0"/>
                  <w:marRight w:val="0"/>
                  <w:marTop w:val="0"/>
                  <w:marBottom w:val="0"/>
                  <w:divBdr>
                    <w:top w:val="none" w:sz="0" w:space="0" w:color="auto"/>
                    <w:left w:val="none" w:sz="0" w:space="0" w:color="auto"/>
                    <w:bottom w:val="none" w:sz="0" w:space="0" w:color="auto"/>
                    <w:right w:val="none" w:sz="0" w:space="0" w:color="auto"/>
                  </w:divBdr>
                </w:div>
                <w:div w:id="1201240318">
                  <w:marLeft w:val="0"/>
                  <w:marRight w:val="0"/>
                  <w:marTop w:val="0"/>
                  <w:marBottom w:val="0"/>
                  <w:divBdr>
                    <w:top w:val="none" w:sz="0" w:space="0" w:color="auto"/>
                    <w:left w:val="none" w:sz="0" w:space="0" w:color="auto"/>
                    <w:bottom w:val="none" w:sz="0" w:space="0" w:color="auto"/>
                    <w:right w:val="none" w:sz="0" w:space="0" w:color="auto"/>
                  </w:divBdr>
                </w:div>
                <w:div w:id="1586038267">
                  <w:marLeft w:val="0"/>
                  <w:marRight w:val="0"/>
                  <w:marTop w:val="0"/>
                  <w:marBottom w:val="0"/>
                  <w:divBdr>
                    <w:top w:val="none" w:sz="0" w:space="0" w:color="auto"/>
                    <w:left w:val="none" w:sz="0" w:space="0" w:color="auto"/>
                    <w:bottom w:val="none" w:sz="0" w:space="0" w:color="auto"/>
                    <w:right w:val="none" w:sz="0" w:space="0" w:color="auto"/>
                  </w:divBdr>
                </w:div>
                <w:div w:id="1870022564">
                  <w:marLeft w:val="0"/>
                  <w:marRight w:val="0"/>
                  <w:marTop w:val="0"/>
                  <w:marBottom w:val="0"/>
                  <w:divBdr>
                    <w:top w:val="none" w:sz="0" w:space="0" w:color="auto"/>
                    <w:left w:val="none" w:sz="0" w:space="0" w:color="auto"/>
                    <w:bottom w:val="none" w:sz="0" w:space="0" w:color="auto"/>
                    <w:right w:val="none" w:sz="0" w:space="0" w:color="auto"/>
                  </w:divBdr>
                </w:div>
                <w:div w:id="1836451674">
                  <w:marLeft w:val="0"/>
                  <w:marRight w:val="0"/>
                  <w:marTop w:val="0"/>
                  <w:marBottom w:val="0"/>
                  <w:divBdr>
                    <w:top w:val="none" w:sz="0" w:space="0" w:color="auto"/>
                    <w:left w:val="none" w:sz="0" w:space="0" w:color="auto"/>
                    <w:bottom w:val="none" w:sz="0" w:space="0" w:color="auto"/>
                    <w:right w:val="none" w:sz="0" w:space="0" w:color="auto"/>
                  </w:divBdr>
                </w:div>
                <w:div w:id="550189248">
                  <w:marLeft w:val="0"/>
                  <w:marRight w:val="0"/>
                  <w:marTop w:val="0"/>
                  <w:marBottom w:val="0"/>
                  <w:divBdr>
                    <w:top w:val="none" w:sz="0" w:space="0" w:color="auto"/>
                    <w:left w:val="none" w:sz="0" w:space="0" w:color="auto"/>
                    <w:bottom w:val="none" w:sz="0" w:space="0" w:color="auto"/>
                    <w:right w:val="none" w:sz="0" w:space="0" w:color="auto"/>
                  </w:divBdr>
                </w:div>
                <w:div w:id="826017924">
                  <w:marLeft w:val="0"/>
                  <w:marRight w:val="0"/>
                  <w:marTop w:val="0"/>
                  <w:marBottom w:val="0"/>
                  <w:divBdr>
                    <w:top w:val="none" w:sz="0" w:space="0" w:color="auto"/>
                    <w:left w:val="none" w:sz="0" w:space="0" w:color="auto"/>
                    <w:bottom w:val="none" w:sz="0" w:space="0" w:color="auto"/>
                    <w:right w:val="none" w:sz="0" w:space="0" w:color="auto"/>
                  </w:divBdr>
                </w:div>
                <w:div w:id="1294403177">
                  <w:marLeft w:val="0"/>
                  <w:marRight w:val="0"/>
                  <w:marTop w:val="0"/>
                  <w:marBottom w:val="0"/>
                  <w:divBdr>
                    <w:top w:val="none" w:sz="0" w:space="0" w:color="auto"/>
                    <w:left w:val="none" w:sz="0" w:space="0" w:color="auto"/>
                    <w:bottom w:val="none" w:sz="0" w:space="0" w:color="auto"/>
                    <w:right w:val="none" w:sz="0" w:space="0" w:color="auto"/>
                  </w:divBdr>
                </w:div>
                <w:div w:id="2001037613">
                  <w:marLeft w:val="0"/>
                  <w:marRight w:val="0"/>
                  <w:marTop w:val="0"/>
                  <w:marBottom w:val="0"/>
                  <w:divBdr>
                    <w:top w:val="none" w:sz="0" w:space="0" w:color="auto"/>
                    <w:left w:val="none" w:sz="0" w:space="0" w:color="auto"/>
                    <w:bottom w:val="none" w:sz="0" w:space="0" w:color="auto"/>
                    <w:right w:val="none" w:sz="0" w:space="0" w:color="auto"/>
                  </w:divBdr>
                </w:div>
                <w:div w:id="188108237">
                  <w:marLeft w:val="0"/>
                  <w:marRight w:val="0"/>
                  <w:marTop w:val="0"/>
                  <w:marBottom w:val="0"/>
                  <w:divBdr>
                    <w:top w:val="none" w:sz="0" w:space="0" w:color="auto"/>
                    <w:left w:val="none" w:sz="0" w:space="0" w:color="auto"/>
                    <w:bottom w:val="none" w:sz="0" w:space="0" w:color="auto"/>
                    <w:right w:val="none" w:sz="0" w:space="0" w:color="auto"/>
                  </w:divBdr>
                </w:div>
                <w:div w:id="1336885323">
                  <w:marLeft w:val="0"/>
                  <w:marRight w:val="0"/>
                  <w:marTop w:val="0"/>
                  <w:marBottom w:val="0"/>
                  <w:divBdr>
                    <w:top w:val="none" w:sz="0" w:space="0" w:color="auto"/>
                    <w:left w:val="none" w:sz="0" w:space="0" w:color="auto"/>
                    <w:bottom w:val="none" w:sz="0" w:space="0" w:color="auto"/>
                    <w:right w:val="none" w:sz="0" w:space="0" w:color="auto"/>
                  </w:divBdr>
                </w:div>
                <w:div w:id="718481265">
                  <w:marLeft w:val="0"/>
                  <w:marRight w:val="0"/>
                  <w:marTop w:val="0"/>
                  <w:marBottom w:val="0"/>
                  <w:divBdr>
                    <w:top w:val="none" w:sz="0" w:space="0" w:color="auto"/>
                    <w:left w:val="none" w:sz="0" w:space="0" w:color="auto"/>
                    <w:bottom w:val="none" w:sz="0" w:space="0" w:color="auto"/>
                    <w:right w:val="none" w:sz="0" w:space="0" w:color="auto"/>
                  </w:divBdr>
                </w:div>
                <w:div w:id="729503439">
                  <w:marLeft w:val="0"/>
                  <w:marRight w:val="0"/>
                  <w:marTop w:val="0"/>
                  <w:marBottom w:val="0"/>
                  <w:divBdr>
                    <w:top w:val="none" w:sz="0" w:space="0" w:color="auto"/>
                    <w:left w:val="none" w:sz="0" w:space="0" w:color="auto"/>
                    <w:bottom w:val="none" w:sz="0" w:space="0" w:color="auto"/>
                    <w:right w:val="none" w:sz="0" w:space="0" w:color="auto"/>
                  </w:divBdr>
                </w:div>
                <w:div w:id="1527407588">
                  <w:marLeft w:val="0"/>
                  <w:marRight w:val="0"/>
                  <w:marTop w:val="0"/>
                  <w:marBottom w:val="0"/>
                  <w:divBdr>
                    <w:top w:val="none" w:sz="0" w:space="0" w:color="auto"/>
                    <w:left w:val="none" w:sz="0" w:space="0" w:color="auto"/>
                    <w:bottom w:val="none" w:sz="0" w:space="0" w:color="auto"/>
                    <w:right w:val="none" w:sz="0" w:space="0" w:color="auto"/>
                  </w:divBdr>
                </w:div>
                <w:div w:id="1511868113">
                  <w:marLeft w:val="0"/>
                  <w:marRight w:val="0"/>
                  <w:marTop w:val="0"/>
                  <w:marBottom w:val="0"/>
                  <w:divBdr>
                    <w:top w:val="none" w:sz="0" w:space="0" w:color="auto"/>
                    <w:left w:val="none" w:sz="0" w:space="0" w:color="auto"/>
                    <w:bottom w:val="none" w:sz="0" w:space="0" w:color="auto"/>
                    <w:right w:val="none" w:sz="0" w:space="0" w:color="auto"/>
                  </w:divBdr>
                </w:div>
                <w:div w:id="1860192952">
                  <w:marLeft w:val="0"/>
                  <w:marRight w:val="0"/>
                  <w:marTop w:val="0"/>
                  <w:marBottom w:val="0"/>
                  <w:divBdr>
                    <w:top w:val="none" w:sz="0" w:space="0" w:color="auto"/>
                    <w:left w:val="none" w:sz="0" w:space="0" w:color="auto"/>
                    <w:bottom w:val="none" w:sz="0" w:space="0" w:color="auto"/>
                    <w:right w:val="none" w:sz="0" w:space="0" w:color="auto"/>
                  </w:divBdr>
                </w:div>
                <w:div w:id="318046423">
                  <w:marLeft w:val="0"/>
                  <w:marRight w:val="0"/>
                  <w:marTop w:val="0"/>
                  <w:marBottom w:val="0"/>
                  <w:divBdr>
                    <w:top w:val="none" w:sz="0" w:space="0" w:color="auto"/>
                    <w:left w:val="none" w:sz="0" w:space="0" w:color="auto"/>
                    <w:bottom w:val="none" w:sz="0" w:space="0" w:color="auto"/>
                    <w:right w:val="none" w:sz="0" w:space="0" w:color="auto"/>
                  </w:divBdr>
                </w:div>
                <w:div w:id="1251963969">
                  <w:marLeft w:val="0"/>
                  <w:marRight w:val="0"/>
                  <w:marTop w:val="0"/>
                  <w:marBottom w:val="0"/>
                  <w:divBdr>
                    <w:top w:val="none" w:sz="0" w:space="0" w:color="auto"/>
                    <w:left w:val="none" w:sz="0" w:space="0" w:color="auto"/>
                    <w:bottom w:val="none" w:sz="0" w:space="0" w:color="auto"/>
                    <w:right w:val="none" w:sz="0" w:space="0" w:color="auto"/>
                  </w:divBdr>
                </w:div>
                <w:div w:id="2135253067">
                  <w:marLeft w:val="0"/>
                  <w:marRight w:val="0"/>
                  <w:marTop w:val="0"/>
                  <w:marBottom w:val="0"/>
                  <w:divBdr>
                    <w:top w:val="none" w:sz="0" w:space="0" w:color="auto"/>
                    <w:left w:val="none" w:sz="0" w:space="0" w:color="auto"/>
                    <w:bottom w:val="none" w:sz="0" w:space="0" w:color="auto"/>
                    <w:right w:val="none" w:sz="0" w:space="0" w:color="auto"/>
                  </w:divBdr>
                </w:div>
                <w:div w:id="1180505012">
                  <w:marLeft w:val="0"/>
                  <w:marRight w:val="0"/>
                  <w:marTop w:val="0"/>
                  <w:marBottom w:val="0"/>
                  <w:divBdr>
                    <w:top w:val="none" w:sz="0" w:space="0" w:color="auto"/>
                    <w:left w:val="none" w:sz="0" w:space="0" w:color="auto"/>
                    <w:bottom w:val="none" w:sz="0" w:space="0" w:color="auto"/>
                    <w:right w:val="none" w:sz="0" w:space="0" w:color="auto"/>
                  </w:divBdr>
                </w:div>
                <w:div w:id="2132049330">
                  <w:marLeft w:val="0"/>
                  <w:marRight w:val="0"/>
                  <w:marTop w:val="0"/>
                  <w:marBottom w:val="0"/>
                  <w:divBdr>
                    <w:top w:val="none" w:sz="0" w:space="0" w:color="auto"/>
                    <w:left w:val="none" w:sz="0" w:space="0" w:color="auto"/>
                    <w:bottom w:val="none" w:sz="0" w:space="0" w:color="auto"/>
                    <w:right w:val="none" w:sz="0" w:space="0" w:color="auto"/>
                  </w:divBdr>
                </w:div>
                <w:div w:id="1180700123">
                  <w:marLeft w:val="0"/>
                  <w:marRight w:val="0"/>
                  <w:marTop w:val="0"/>
                  <w:marBottom w:val="0"/>
                  <w:divBdr>
                    <w:top w:val="none" w:sz="0" w:space="0" w:color="auto"/>
                    <w:left w:val="none" w:sz="0" w:space="0" w:color="auto"/>
                    <w:bottom w:val="none" w:sz="0" w:space="0" w:color="auto"/>
                    <w:right w:val="none" w:sz="0" w:space="0" w:color="auto"/>
                  </w:divBdr>
                </w:div>
                <w:div w:id="594019155">
                  <w:marLeft w:val="0"/>
                  <w:marRight w:val="0"/>
                  <w:marTop w:val="0"/>
                  <w:marBottom w:val="0"/>
                  <w:divBdr>
                    <w:top w:val="none" w:sz="0" w:space="0" w:color="auto"/>
                    <w:left w:val="none" w:sz="0" w:space="0" w:color="auto"/>
                    <w:bottom w:val="none" w:sz="0" w:space="0" w:color="auto"/>
                    <w:right w:val="none" w:sz="0" w:space="0" w:color="auto"/>
                  </w:divBdr>
                </w:div>
                <w:div w:id="227810826">
                  <w:marLeft w:val="0"/>
                  <w:marRight w:val="0"/>
                  <w:marTop w:val="0"/>
                  <w:marBottom w:val="0"/>
                  <w:divBdr>
                    <w:top w:val="none" w:sz="0" w:space="0" w:color="auto"/>
                    <w:left w:val="none" w:sz="0" w:space="0" w:color="auto"/>
                    <w:bottom w:val="none" w:sz="0" w:space="0" w:color="auto"/>
                    <w:right w:val="none" w:sz="0" w:space="0" w:color="auto"/>
                  </w:divBdr>
                </w:div>
                <w:div w:id="2141730104">
                  <w:marLeft w:val="0"/>
                  <w:marRight w:val="0"/>
                  <w:marTop w:val="0"/>
                  <w:marBottom w:val="0"/>
                  <w:divBdr>
                    <w:top w:val="none" w:sz="0" w:space="0" w:color="auto"/>
                    <w:left w:val="none" w:sz="0" w:space="0" w:color="auto"/>
                    <w:bottom w:val="none" w:sz="0" w:space="0" w:color="auto"/>
                    <w:right w:val="none" w:sz="0" w:space="0" w:color="auto"/>
                  </w:divBdr>
                </w:div>
                <w:div w:id="1057246367">
                  <w:marLeft w:val="0"/>
                  <w:marRight w:val="0"/>
                  <w:marTop w:val="0"/>
                  <w:marBottom w:val="0"/>
                  <w:divBdr>
                    <w:top w:val="none" w:sz="0" w:space="0" w:color="auto"/>
                    <w:left w:val="none" w:sz="0" w:space="0" w:color="auto"/>
                    <w:bottom w:val="none" w:sz="0" w:space="0" w:color="auto"/>
                    <w:right w:val="none" w:sz="0" w:space="0" w:color="auto"/>
                  </w:divBdr>
                </w:div>
                <w:div w:id="181017483">
                  <w:marLeft w:val="0"/>
                  <w:marRight w:val="0"/>
                  <w:marTop w:val="0"/>
                  <w:marBottom w:val="0"/>
                  <w:divBdr>
                    <w:top w:val="none" w:sz="0" w:space="0" w:color="auto"/>
                    <w:left w:val="none" w:sz="0" w:space="0" w:color="auto"/>
                    <w:bottom w:val="none" w:sz="0" w:space="0" w:color="auto"/>
                    <w:right w:val="none" w:sz="0" w:space="0" w:color="auto"/>
                  </w:divBdr>
                </w:div>
                <w:div w:id="1106727983">
                  <w:marLeft w:val="0"/>
                  <w:marRight w:val="0"/>
                  <w:marTop w:val="0"/>
                  <w:marBottom w:val="0"/>
                  <w:divBdr>
                    <w:top w:val="none" w:sz="0" w:space="0" w:color="auto"/>
                    <w:left w:val="none" w:sz="0" w:space="0" w:color="auto"/>
                    <w:bottom w:val="none" w:sz="0" w:space="0" w:color="auto"/>
                    <w:right w:val="none" w:sz="0" w:space="0" w:color="auto"/>
                  </w:divBdr>
                </w:div>
                <w:div w:id="879896297">
                  <w:marLeft w:val="0"/>
                  <w:marRight w:val="0"/>
                  <w:marTop w:val="0"/>
                  <w:marBottom w:val="0"/>
                  <w:divBdr>
                    <w:top w:val="none" w:sz="0" w:space="0" w:color="auto"/>
                    <w:left w:val="none" w:sz="0" w:space="0" w:color="auto"/>
                    <w:bottom w:val="none" w:sz="0" w:space="0" w:color="auto"/>
                    <w:right w:val="none" w:sz="0" w:space="0" w:color="auto"/>
                  </w:divBdr>
                </w:div>
                <w:div w:id="1052384920">
                  <w:marLeft w:val="0"/>
                  <w:marRight w:val="0"/>
                  <w:marTop w:val="0"/>
                  <w:marBottom w:val="0"/>
                  <w:divBdr>
                    <w:top w:val="none" w:sz="0" w:space="0" w:color="auto"/>
                    <w:left w:val="none" w:sz="0" w:space="0" w:color="auto"/>
                    <w:bottom w:val="none" w:sz="0" w:space="0" w:color="auto"/>
                    <w:right w:val="none" w:sz="0" w:space="0" w:color="auto"/>
                  </w:divBdr>
                </w:div>
                <w:div w:id="1152721422">
                  <w:marLeft w:val="0"/>
                  <w:marRight w:val="0"/>
                  <w:marTop w:val="0"/>
                  <w:marBottom w:val="0"/>
                  <w:divBdr>
                    <w:top w:val="none" w:sz="0" w:space="0" w:color="auto"/>
                    <w:left w:val="none" w:sz="0" w:space="0" w:color="auto"/>
                    <w:bottom w:val="none" w:sz="0" w:space="0" w:color="auto"/>
                    <w:right w:val="none" w:sz="0" w:space="0" w:color="auto"/>
                  </w:divBdr>
                </w:div>
                <w:div w:id="21447297">
                  <w:marLeft w:val="0"/>
                  <w:marRight w:val="0"/>
                  <w:marTop w:val="0"/>
                  <w:marBottom w:val="0"/>
                  <w:divBdr>
                    <w:top w:val="none" w:sz="0" w:space="0" w:color="auto"/>
                    <w:left w:val="none" w:sz="0" w:space="0" w:color="auto"/>
                    <w:bottom w:val="none" w:sz="0" w:space="0" w:color="auto"/>
                    <w:right w:val="none" w:sz="0" w:space="0" w:color="auto"/>
                  </w:divBdr>
                </w:div>
                <w:div w:id="1680426654">
                  <w:marLeft w:val="0"/>
                  <w:marRight w:val="0"/>
                  <w:marTop w:val="0"/>
                  <w:marBottom w:val="0"/>
                  <w:divBdr>
                    <w:top w:val="none" w:sz="0" w:space="0" w:color="auto"/>
                    <w:left w:val="none" w:sz="0" w:space="0" w:color="auto"/>
                    <w:bottom w:val="none" w:sz="0" w:space="0" w:color="auto"/>
                    <w:right w:val="none" w:sz="0" w:space="0" w:color="auto"/>
                  </w:divBdr>
                </w:div>
                <w:div w:id="1247423940">
                  <w:marLeft w:val="0"/>
                  <w:marRight w:val="0"/>
                  <w:marTop w:val="0"/>
                  <w:marBottom w:val="0"/>
                  <w:divBdr>
                    <w:top w:val="none" w:sz="0" w:space="0" w:color="auto"/>
                    <w:left w:val="none" w:sz="0" w:space="0" w:color="auto"/>
                    <w:bottom w:val="none" w:sz="0" w:space="0" w:color="auto"/>
                    <w:right w:val="none" w:sz="0" w:space="0" w:color="auto"/>
                  </w:divBdr>
                </w:div>
                <w:div w:id="1526287104">
                  <w:marLeft w:val="0"/>
                  <w:marRight w:val="0"/>
                  <w:marTop w:val="0"/>
                  <w:marBottom w:val="0"/>
                  <w:divBdr>
                    <w:top w:val="none" w:sz="0" w:space="0" w:color="auto"/>
                    <w:left w:val="none" w:sz="0" w:space="0" w:color="auto"/>
                    <w:bottom w:val="none" w:sz="0" w:space="0" w:color="auto"/>
                    <w:right w:val="none" w:sz="0" w:space="0" w:color="auto"/>
                  </w:divBdr>
                </w:div>
                <w:div w:id="1269044906">
                  <w:marLeft w:val="0"/>
                  <w:marRight w:val="0"/>
                  <w:marTop w:val="0"/>
                  <w:marBottom w:val="0"/>
                  <w:divBdr>
                    <w:top w:val="none" w:sz="0" w:space="0" w:color="auto"/>
                    <w:left w:val="none" w:sz="0" w:space="0" w:color="auto"/>
                    <w:bottom w:val="none" w:sz="0" w:space="0" w:color="auto"/>
                    <w:right w:val="none" w:sz="0" w:space="0" w:color="auto"/>
                  </w:divBdr>
                </w:div>
                <w:div w:id="2037196253">
                  <w:marLeft w:val="0"/>
                  <w:marRight w:val="0"/>
                  <w:marTop w:val="0"/>
                  <w:marBottom w:val="0"/>
                  <w:divBdr>
                    <w:top w:val="none" w:sz="0" w:space="0" w:color="auto"/>
                    <w:left w:val="none" w:sz="0" w:space="0" w:color="auto"/>
                    <w:bottom w:val="none" w:sz="0" w:space="0" w:color="auto"/>
                    <w:right w:val="none" w:sz="0" w:space="0" w:color="auto"/>
                  </w:divBdr>
                </w:div>
                <w:div w:id="302539832">
                  <w:marLeft w:val="0"/>
                  <w:marRight w:val="0"/>
                  <w:marTop w:val="0"/>
                  <w:marBottom w:val="0"/>
                  <w:divBdr>
                    <w:top w:val="none" w:sz="0" w:space="0" w:color="auto"/>
                    <w:left w:val="none" w:sz="0" w:space="0" w:color="auto"/>
                    <w:bottom w:val="none" w:sz="0" w:space="0" w:color="auto"/>
                    <w:right w:val="none" w:sz="0" w:space="0" w:color="auto"/>
                  </w:divBdr>
                </w:div>
                <w:div w:id="1369527639">
                  <w:marLeft w:val="0"/>
                  <w:marRight w:val="0"/>
                  <w:marTop w:val="0"/>
                  <w:marBottom w:val="0"/>
                  <w:divBdr>
                    <w:top w:val="none" w:sz="0" w:space="0" w:color="auto"/>
                    <w:left w:val="none" w:sz="0" w:space="0" w:color="auto"/>
                    <w:bottom w:val="none" w:sz="0" w:space="0" w:color="auto"/>
                    <w:right w:val="none" w:sz="0" w:space="0" w:color="auto"/>
                  </w:divBdr>
                </w:div>
                <w:div w:id="253904850">
                  <w:marLeft w:val="0"/>
                  <w:marRight w:val="0"/>
                  <w:marTop w:val="0"/>
                  <w:marBottom w:val="0"/>
                  <w:divBdr>
                    <w:top w:val="none" w:sz="0" w:space="0" w:color="auto"/>
                    <w:left w:val="none" w:sz="0" w:space="0" w:color="auto"/>
                    <w:bottom w:val="none" w:sz="0" w:space="0" w:color="auto"/>
                    <w:right w:val="none" w:sz="0" w:space="0" w:color="auto"/>
                  </w:divBdr>
                </w:div>
                <w:div w:id="1643657517">
                  <w:marLeft w:val="0"/>
                  <w:marRight w:val="0"/>
                  <w:marTop w:val="0"/>
                  <w:marBottom w:val="0"/>
                  <w:divBdr>
                    <w:top w:val="none" w:sz="0" w:space="0" w:color="auto"/>
                    <w:left w:val="none" w:sz="0" w:space="0" w:color="auto"/>
                    <w:bottom w:val="none" w:sz="0" w:space="0" w:color="auto"/>
                    <w:right w:val="none" w:sz="0" w:space="0" w:color="auto"/>
                  </w:divBdr>
                </w:div>
                <w:div w:id="40331551">
                  <w:marLeft w:val="0"/>
                  <w:marRight w:val="0"/>
                  <w:marTop w:val="0"/>
                  <w:marBottom w:val="0"/>
                  <w:divBdr>
                    <w:top w:val="none" w:sz="0" w:space="0" w:color="auto"/>
                    <w:left w:val="none" w:sz="0" w:space="0" w:color="auto"/>
                    <w:bottom w:val="none" w:sz="0" w:space="0" w:color="auto"/>
                    <w:right w:val="none" w:sz="0" w:space="0" w:color="auto"/>
                  </w:divBdr>
                </w:div>
                <w:div w:id="1857619387">
                  <w:marLeft w:val="0"/>
                  <w:marRight w:val="0"/>
                  <w:marTop w:val="0"/>
                  <w:marBottom w:val="0"/>
                  <w:divBdr>
                    <w:top w:val="none" w:sz="0" w:space="0" w:color="auto"/>
                    <w:left w:val="none" w:sz="0" w:space="0" w:color="auto"/>
                    <w:bottom w:val="none" w:sz="0" w:space="0" w:color="auto"/>
                    <w:right w:val="none" w:sz="0" w:space="0" w:color="auto"/>
                  </w:divBdr>
                </w:div>
                <w:div w:id="1657614675">
                  <w:marLeft w:val="0"/>
                  <w:marRight w:val="0"/>
                  <w:marTop w:val="0"/>
                  <w:marBottom w:val="0"/>
                  <w:divBdr>
                    <w:top w:val="none" w:sz="0" w:space="0" w:color="auto"/>
                    <w:left w:val="none" w:sz="0" w:space="0" w:color="auto"/>
                    <w:bottom w:val="none" w:sz="0" w:space="0" w:color="auto"/>
                    <w:right w:val="none" w:sz="0" w:space="0" w:color="auto"/>
                  </w:divBdr>
                </w:div>
                <w:div w:id="1322924860">
                  <w:marLeft w:val="0"/>
                  <w:marRight w:val="0"/>
                  <w:marTop w:val="0"/>
                  <w:marBottom w:val="0"/>
                  <w:divBdr>
                    <w:top w:val="none" w:sz="0" w:space="0" w:color="auto"/>
                    <w:left w:val="none" w:sz="0" w:space="0" w:color="auto"/>
                    <w:bottom w:val="none" w:sz="0" w:space="0" w:color="auto"/>
                    <w:right w:val="none" w:sz="0" w:space="0" w:color="auto"/>
                  </w:divBdr>
                </w:div>
                <w:div w:id="293485659">
                  <w:marLeft w:val="0"/>
                  <w:marRight w:val="0"/>
                  <w:marTop w:val="0"/>
                  <w:marBottom w:val="0"/>
                  <w:divBdr>
                    <w:top w:val="none" w:sz="0" w:space="0" w:color="auto"/>
                    <w:left w:val="none" w:sz="0" w:space="0" w:color="auto"/>
                    <w:bottom w:val="none" w:sz="0" w:space="0" w:color="auto"/>
                    <w:right w:val="none" w:sz="0" w:space="0" w:color="auto"/>
                  </w:divBdr>
                </w:div>
                <w:div w:id="199634877">
                  <w:marLeft w:val="0"/>
                  <w:marRight w:val="0"/>
                  <w:marTop w:val="0"/>
                  <w:marBottom w:val="0"/>
                  <w:divBdr>
                    <w:top w:val="none" w:sz="0" w:space="0" w:color="auto"/>
                    <w:left w:val="none" w:sz="0" w:space="0" w:color="auto"/>
                    <w:bottom w:val="none" w:sz="0" w:space="0" w:color="auto"/>
                    <w:right w:val="none" w:sz="0" w:space="0" w:color="auto"/>
                  </w:divBdr>
                </w:div>
                <w:div w:id="173619414">
                  <w:marLeft w:val="0"/>
                  <w:marRight w:val="0"/>
                  <w:marTop w:val="0"/>
                  <w:marBottom w:val="0"/>
                  <w:divBdr>
                    <w:top w:val="none" w:sz="0" w:space="0" w:color="auto"/>
                    <w:left w:val="none" w:sz="0" w:space="0" w:color="auto"/>
                    <w:bottom w:val="none" w:sz="0" w:space="0" w:color="auto"/>
                    <w:right w:val="none" w:sz="0" w:space="0" w:color="auto"/>
                  </w:divBdr>
                </w:div>
                <w:div w:id="175268209">
                  <w:marLeft w:val="0"/>
                  <w:marRight w:val="0"/>
                  <w:marTop w:val="0"/>
                  <w:marBottom w:val="0"/>
                  <w:divBdr>
                    <w:top w:val="none" w:sz="0" w:space="0" w:color="auto"/>
                    <w:left w:val="none" w:sz="0" w:space="0" w:color="auto"/>
                    <w:bottom w:val="none" w:sz="0" w:space="0" w:color="auto"/>
                    <w:right w:val="none" w:sz="0" w:space="0" w:color="auto"/>
                  </w:divBdr>
                </w:div>
                <w:div w:id="1465581830">
                  <w:marLeft w:val="0"/>
                  <w:marRight w:val="0"/>
                  <w:marTop w:val="0"/>
                  <w:marBottom w:val="0"/>
                  <w:divBdr>
                    <w:top w:val="none" w:sz="0" w:space="0" w:color="auto"/>
                    <w:left w:val="none" w:sz="0" w:space="0" w:color="auto"/>
                    <w:bottom w:val="none" w:sz="0" w:space="0" w:color="auto"/>
                    <w:right w:val="none" w:sz="0" w:space="0" w:color="auto"/>
                  </w:divBdr>
                </w:div>
                <w:div w:id="1388187481">
                  <w:marLeft w:val="0"/>
                  <w:marRight w:val="0"/>
                  <w:marTop w:val="0"/>
                  <w:marBottom w:val="0"/>
                  <w:divBdr>
                    <w:top w:val="none" w:sz="0" w:space="0" w:color="auto"/>
                    <w:left w:val="none" w:sz="0" w:space="0" w:color="auto"/>
                    <w:bottom w:val="none" w:sz="0" w:space="0" w:color="auto"/>
                    <w:right w:val="none" w:sz="0" w:space="0" w:color="auto"/>
                  </w:divBdr>
                </w:div>
                <w:div w:id="1715152547">
                  <w:marLeft w:val="0"/>
                  <w:marRight w:val="0"/>
                  <w:marTop w:val="0"/>
                  <w:marBottom w:val="0"/>
                  <w:divBdr>
                    <w:top w:val="none" w:sz="0" w:space="0" w:color="auto"/>
                    <w:left w:val="none" w:sz="0" w:space="0" w:color="auto"/>
                    <w:bottom w:val="none" w:sz="0" w:space="0" w:color="auto"/>
                    <w:right w:val="none" w:sz="0" w:space="0" w:color="auto"/>
                  </w:divBdr>
                </w:div>
                <w:div w:id="1206329168">
                  <w:marLeft w:val="0"/>
                  <w:marRight w:val="0"/>
                  <w:marTop w:val="0"/>
                  <w:marBottom w:val="0"/>
                  <w:divBdr>
                    <w:top w:val="none" w:sz="0" w:space="0" w:color="auto"/>
                    <w:left w:val="none" w:sz="0" w:space="0" w:color="auto"/>
                    <w:bottom w:val="none" w:sz="0" w:space="0" w:color="auto"/>
                    <w:right w:val="none" w:sz="0" w:space="0" w:color="auto"/>
                  </w:divBdr>
                </w:div>
                <w:div w:id="1362823503">
                  <w:marLeft w:val="0"/>
                  <w:marRight w:val="0"/>
                  <w:marTop w:val="0"/>
                  <w:marBottom w:val="0"/>
                  <w:divBdr>
                    <w:top w:val="none" w:sz="0" w:space="0" w:color="auto"/>
                    <w:left w:val="none" w:sz="0" w:space="0" w:color="auto"/>
                    <w:bottom w:val="none" w:sz="0" w:space="0" w:color="auto"/>
                    <w:right w:val="none" w:sz="0" w:space="0" w:color="auto"/>
                  </w:divBdr>
                </w:div>
                <w:div w:id="355039636">
                  <w:marLeft w:val="0"/>
                  <w:marRight w:val="0"/>
                  <w:marTop w:val="0"/>
                  <w:marBottom w:val="0"/>
                  <w:divBdr>
                    <w:top w:val="none" w:sz="0" w:space="0" w:color="auto"/>
                    <w:left w:val="none" w:sz="0" w:space="0" w:color="auto"/>
                    <w:bottom w:val="none" w:sz="0" w:space="0" w:color="auto"/>
                    <w:right w:val="none" w:sz="0" w:space="0" w:color="auto"/>
                  </w:divBdr>
                </w:div>
                <w:div w:id="1496140640">
                  <w:marLeft w:val="0"/>
                  <w:marRight w:val="0"/>
                  <w:marTop w:val="0"/>
                  <w:marBottom w:val="0"/>
                  <w:divBdr>
                    <w:top w:val="none" w:sz="0" w:space="0" w:color="auto"/>
                    <w:left w:val="none" w:sz="0" w:space="0" w:color="auto"/>
                    <w:bottom w:val="none" w:sz="0" w:space="0" w:color="auto"/>
                    <w:right w:val="none" w:sz="0" w:space="0" w:color="auto"/>
                  </w:divBdr>
                </w:div>
                <w:div w:id="1384792445">
                  <w:marLeft w:val="0"/>
                  <w:marRight w:val="0"/>
                  <w:marTop w:val="0"/>
                  <w:marBottom w:val="0"/>
                  <w:divBdr>
                    <w:top w:val="none" w:sz="0" w:space="0" w:color="auto"/>
                    <w:left w:val="none" w:sz="0" w:space="0" w:color="auto"/>
                    <w:bottom w:val="none" w:sz="0" w:space="0" w:color="auto"/>
                    <w:right w:val="none" w:sz="0" w:space="0" w:color="auto"/>
                  </w:divBdr>
                </w:div>
                <w:div w:id="2080244187">
                  <w:marLeft w:val="0"/>
                  <w:marRight w:val="0"/>
                  <w:marTop w:val="0"/>
                  <w:marBottom w:val="0"/>
                  <w:divBdr>
                    <w:top w:val="none" w:sz="0" w:space="0" w:color="auto"/>
                    <w:left w:val="none" w:sz="0" w:space="0" w:color="auto"/>
                    <w:bottom w:val="none" w:sz="0" w:space="0" w:color="auto"/>
                    <w:right w:val="none" w:sz="0" w:space="0" w:color="auto"/>
                  </w:divBdr>
                </w:div>
                <w:div w:id="1000424505">
                  <w:marLeft w:val="0"/>
                  <w:marRight w:val="0"/>
                  <w:marTop w:val="0"/>
                  <w:marBottom w:val="0"/>
                  <w:divBdr>
                    <w:top w:val="none" w:sz="0" w:space="0" w:color="auto"/>
                    <w:left w:val="none" w:sz="0" w:space="0" w:color="auto"/>
                    <w:bottom w:val="none" w:sz="0" w:space="0" w:color="auto"/>
                    <w:right w:val="none" w:sz="0" w:space="0" w:color="auto"/>
                  </w:divBdr>
                </w:div>
                <w:div w:id="1373653473">
                  <w:marLeft w:val="0"/>
                  <w:marRight w:val="0"/>
                  <w:marTop w:val="0"/>
                  <w:marBottom w:val="0"/>
                  <w:divBdr>
                    <w:top w:val="none" w:sz="0" w:space="0" w:color="auto"/>
                    <w:left w:val="none" w:sz="0" w:space="0" w:color="auto"/>
                    <w:bottom w:val="none" w:sz="0" w:space="0" w:color="auto"/>
                    <w:right w:val="none" w:sz="0" w:space="0" w:color="auto"/>
                  </w:divBdr>
                </w:div>
                <w:div w:id="1386875113">
                  <w:marLeft w:val="0"/>
                  <w:marRight w:val="0"/>
                  <w:marTop w:val="0"/>
                  <w:marBottom w:val="0"/>
                  <w:divBdr>
                    <w:top w:val="none" w:sz="0" w:space="0" w:color="auto"/>
                    <w:left w:val="none" w:sz="0" w:space="0" w:color="auto"/>
                    <w:bottom w:val="none" w:sz="0" w:space="0" w:color="auto"/>
                    <w:right w:val="none" w:sz="0" w:space="0" w:color="auto"/>
                  </w:divBdr>
                </w:div>
                <w:div w:id="1421756009">
                  <w:marLeft w:val="0"/>
                  <w:marRight w:val="0"/>
                  <w:marTop w:val="0"/>
                  <w:marBottom w:val="0"/>
                  <w:divBdr>
                    <w:top w:val="none" w:sz="0" w:space="0" w:color="auto"/>
                    <w:left w:val="none" w:sz="0" w:space="0" w:color="auto"/>
                    <w:bottom w:val="none" w:sz="0" w:space="0" w:color="auto"/>
                    <w:right w:val="none" w:sz="0" w:space="0" w:color="auto"/>
                  </w:divBdr>
                </w:div>
                <w:div w:id="1200314200">
                  <w:marLeft w:val="0"/>
                  <w:marRight w:val="0"/>
                  <w:marTop w:val="0"/>
                  <w:marBottom w:val="0"/>
                  <w:divBdr>
                    <w:top w:val="none" w:sz="0" w:space="0" w:color="auto"/>
                    <w:left w:val="none" w:sz="0" w:space="0" w:color="auto"/>
                    <w:bottom w:val="none" w:sz="0" w:space="0" w:color="auto"/>
                    <w:right w:val="none" w:sz="0" w:space="0" w:color="auto"/>
                  </w:divBdr>
                </w:div>
                <w:div w:id="2109959453">
                  <w:marLeft w:val="0"/>
                  <w:marRight w:val="0"/>
                  <w:marTop w:val="0"/>
                  <w:marBottom w:val="0"/>
                  <w:divBdr>
                    <w:top w:val="none" w:sz="0" w:space="0" w:color="auto"/>
                    <w:left w:val="none" w:sz="0" w:space="0" w:color="auto"/>
                    <w:bottom w:val="none" w:sz="0" w:space="0" w:color="auto"/>
                    <w:right w:val="none" w:sz="0" w:space="0" w:color="auto"/>
                  </w:divBdr>
                </w:div>
                <w:div w:id="351953479">
                  <w:marLeft w:val="0"/>
                  <w:marRight w:val="0"/>
                  <w:marTop w:val="0"/>
                  <w:marBottom w:val="0"/>
                  <w:divBdr>
                    <w:top w:val="none" w:sz="0" w:space="0" w:color="auto"/>
                    <w:left w:val="none" w:sz="0" w:space="0" w:color="auto"/>
                    <w:bottom w:val="none" w:sz="0" w:space="0" w:color="auto"/>
                    <w:right w:val="none" w:sz="0" w:space="0" w:color="auto"/>
                  </w:divBdr>
                </w:div>
                <w:div w:id="1887598501">
                  <w:marLeft w:val="0"/>
                  <w:marRight w:val="0"/>
                  <w:marTop w:val="0"/>
                  <w:marBottom w:val="0"/>
                  <w:divBdr>
                    <w:top w:val="none" w:sz="0" w:space="0" w:color="auto"/>
                    <w:left w:val="none" w:sz="0" w:space="0" w:color="auto"/>
                    <w:bottom w:val="none" w:sz="0" w:space="0" w:color="auto"/>
                    <w:right w:val="none" w:sz="0" w:space="0" w:color="auto"/>
                  </w:divBdr>
                </w:div>
                <w:div w:id="549614366">
                  <w:marLeft w:val="0"/>
                  <w:marRight w:val="0"/>
                  <w:marTop w:val="0"/>
                  <w:marBottom w:val="0"/>
                  <w:divBdr>
                    <w:top w:val="none" w:sz="0" w:space="0" w:color="auto"/>
                    <w:left w:val="none" w:sz="0" w:space="0" w:color="auto"/>
                    <w:bottom w:val="none" w:sz="0" w:space="0" w:color="auto"/>
                    <w:right w:val="none" w:sz="0" w:space="0" w:color="auto"/>
                  </w:divBdr>
                </w:div>
                <w:div w:id="2076971505">
                  <w:marLeft w:val="0"/>
                  <w:marRight w:val="0"/>
                  <w:marTop w:val="0"/>
                  <w:marBottom w:val="0"/>
                  <w:divBdr>
                    <w:top w:val="none" w:sz="0" w:space="0" w:color="auto"/>
                    <w:left w:val="none" w:sz="0" w:space="0" w:color="auto"/>
                    <w:bottom w:val="none" w:sz="0" w:space="0" w:color="auto"/>
                    <w:right w:val="none" w:sz="0" w:space="0" w:color="auto"/>
                  </w:divBdr>
                </w:div>
                <w:div w:id="1255630731">
                  <w:marLeft w:val="0"/>
                  <w:marRight w:val="0"/>
                  <w:marTop w:val="0"/>
                  <w:marBottom w:val="0"/>
                  <w:divBdr>
                    <w:top w:val="none" w:sz="0" w:space="0" w:color="auto"/>
                    <w:left w:val="none" w:sz="0" w:space="0" w:color="auto"/>
                    <w:bottom w:val="none" w:sz="0" w:space="0" w:color="auto"/>
                    <w:right w:val="none" w:sz="0" w:space="0" w:color="auto"/>
                  </w:divBdr>
                </w:div>
                <w:div w:id="1930843437">
                  <w:marLeft w:val="0"/>
                  <w:marRight w:val="0"/>
                  <w:marTop w:val="0"/>
                  <w:marBottom w:val="0"/>
                  <w:divBdr>
                    <w:top w:val="none" w:sz="0" w:space="0" w:color="auto"/>
                    <w:left w:val="none" w:sz="0" w:space="0" w:color="auto"/>
                    <w:bottom w:val="none" w:sz="0" w:space="0" w:color="auto"/>
                    <w:right w:val="none" w:sz="0" w:space="0" w:color="auto"/>
                  </w:divBdr>
                </w:div>
                <w:div w:id="1236933999">
                  <w:marLeft w:val="0"/>
                  <w:marRight w:val="0"/>
                  <w:marTop w:val="0"/>
                  <w:marBottom w:val="0"/>
                  <w:divBdr>
                    <w:top w:val="none" w:sz="0" w:space="0" w:color="auto"/>
                    <w:left w:val="none" w:sz="0" w:space="0" w:color="auto"/>
                    <w:bottom w:val="none" w:sz="0" w:space="0" w:color="auto"/>
                    <w:right w:val="none" w:sz="0" w:space="0" w:color="auto"/>
                  </w:divBdr>
                </w:div>
                <w:div w:id="836968656">
                  <w:marLeft w:val="0"/>
                  <w:marRight w:val="0"/>
                  <w:marTop w:val="0"/>
                  <w:marBottom w:val="0"/>
                  <w:divBdr>
                    <w:top w:val="none" w:sz="0" w:space="0" w:color="auto"/>
                    <w:left w:val="none" w:sz="0" w:space="0" w:color="auto"/>
                    <w:bottom w:val="none" w:sz="0" w:space="0" w:color="auto"/>
                    <w:right w:val="none" w:sz="0" w:space="0" w:color="auto"/>
                  </w:divBdr>
                </w:div>
                <w:div w:id="1628470197">
                  <w:marLeft w:val="0"/>
                  <w:marRight w:val="0"/>
                  <w:marTop w:val="0"/>
                  <w:marBottom w:val="0"/>
                  <w:divBdr>
                    <w:top w:val="none" w:sz="0" w:space="0" w:color="auto"/>
                    <w:left w:val="none" w:sz="0" w:space="0" w:color="auto"/>
                    <w:bottom w:val="none" w:sz="0" w:space="0" w:color="auto"/>
                    <w:right w:val="none" w:sz="0" w:space="0" w:color="auto"/>
                  </w:divBdr>
                </w:div>
                <w:div w:id="1755659498">
                  <w:marLeft w:val="0"/>
                  <w:marRight w:val="0"/>
                  <w:marTop w:val="0"/>
                  <w:marBottom w:val="0"/>
                  <w:divBdr>
                    <w:top w:val="none" w:sz="0" w:space="0" w:color="auto"/>
                    <w:left w:val="none" w:sz="0" w:space="0" w:color="auto"/>
                    <w:bottom w:val="none" w:sz="0" w:space="0" w:color="auto"/>
                    <w:right w:val="none" w:sz="0" w:space="0" w:color="auto"/>
                  </w:divBdr>
                </w:div>
                <w:div w:id="2044821325">
                  <w:marLeft w:val="0"/>
                  <w:marRight w:val="0"/>
                  <w:marTop w:val="0"/>
                  <w:marBottom w:val="0"/>
                  <w:divBdr>
                    <w:top w:val="none" w:sz="0" w:space="0" w:color="auto"/>
                    <w:left w:val="none" w:sz="0" w:space="0" w:color="auto"/>
                    <w:bottom w:val="none" w:sz="0" w:space="0" w:color="auto"/>
                    <w:right w:val="none" w:sz="0" w:space="0" w:color="auto"/>
                  </w:divBdr>
                </w:div>
                <w:div w:id="1321957179">
                  <w:marLeft w:val="0"/>
                  <w:marRight w:val="0"/>
                  <w:marTop w:val="0"/>
                  <w:marBottom w:val="0"/>
                  <w:divBdr>
                    <w:top w:val="none" w:sz="0" w:space="0" w:color="auto"/>
                    <w:left w:val="none" w:sz="0" w:space="0" w:color="auto"/>
                    <w:bottom w:val="none" w:sz="0" w:space="0" w:color="auto"/>
                    <w:right w:val="none" w:sz="0" w:space="0" w:color="auto"/>
                  </w:divBdr>
                </w:div>
                <w:div w:id="939410983">
                  <w:marLeft w:val="0"/>
                  <w:marRight w:val="0"/>
                  <w:marTop w:val="0"/>
                  <w:marBottom w:val="0"/>
                  <w:divBdr>
                    <w:top w:val="none" w:sz="0" w:space="0" w:color="auto"/>
                    <w:left w:val="none" w:sz="0" w:space="0" w:color="auto"/>
                    <w:bottom w:val="none" w:sz="0" w:space="0" w:color="auto"/>
                    <w:right w:val="none" w:sz="0" w:space="0" w:color="auto"/>
                  </w:divBdr>
                </w:div>
                <w:div w:id="1874924949">
                  <w:marLeft w:val="0"/>
                  <w:marRight w:val="0"/>
                  <w:marTop w:val="0"/>
                  <w:marBottom w:val="0"/>
                  <w:divBdr>
                    <w:top w:val="none" w:sz="0" w:space="0" w:color="auto"/>
                    <w:left w:val="none" w:sz="0" w:space="0" w:color="auto"/>
                    <w:bottom w:val="none" w:sz="0" w:space="0" w:color="auto"/>
                    <w:right w:val="none" w:sz="0" w:space="0" w:color="auto"/>
                  </w:divBdr>
                </w:div>
                <w:div w:id="358942113">
                  <w:marLeft w:val="0"/>
                  <w:marRight w:val="0"/>
                  <w:marTop w:val="0"/>
                  <w:marBottom w:val="0"/>
                  <w:divBdr>
                    <w:top w:val="none" w:sz="0" w:space="0" w:color="auto"/>
                    <w:left w:val="none" w:sz="0" w:space="0" w:color="auto"/>
                    <w:bottom w:val="none" w:sz="0" w:space="0" w:color="auto"/>
                    <w:right w:val="none" w:sz="0" w:space="0" w:color="auto"/>
                  </w:divBdr>
                </w:div>
                <w:div w:id="152182892">
                  <w:marLeft w:val="0"/>
                  <w:marRight w:val="0"/>
                  <w:marTop w:val="0"/>
                  <w:marBottom w:val="0"/>
                  <w:divBdr>
                    <w:top w:val="none" w:sz="0" w:space="0" w:color="auto"/>
                    <w:left w:val="none" w:sz="0" w:space="0" w:color="auto"/>
                    <w:bottom w:val="none" w:sz="0" w:space="0" w:color="auto"/>
                    <w:right w:val="none" w:sz="0" w:space="0" w:color="auto"/>
                  </w:divBdr>
                </w:div>
                <w:div w:id="1573615639">
                  <w:marLeft w:val="0"/>
                  <w:marRight w:val="0"/>
                  <w:marTop w:val="0"/>
                  <w:marBottom w:val="0"/>
                  <w:divBdr>
                    <w:top w:val="none" w:sz="0" w:space="0" w:color="auto"/>
                    <w:left w:val="none" w:sz="0" w:space="0" w:color="auto"/>
                    <w:bottom w:val="none" w:sz="0" w:space="0" w:color="auto"/>
                    <w:right w:val="none" w:sz="0" w:space="0" w:color="auto"/>
                  </w:divBdr>
                </w:div>
                <w:div w:id="809711179">
                  <w:marLeft w:val="0"/>
                  <w:marRight w:val="0"/>
                  <w:marTop w:val="0"/>
                  <w:marBottom w:val="0"/>
                  <w:divBdr>
                    <w:top w:val="none" w:sz="0" w:space="0" w:color="auto"/>
                    <w:left w:val="none" w:sz="0" w:space="0" w:color="auto"/>
                    <w:bottom w:val="none" w:sz="0" w:space="0" w:color="auto"/>
                    <w:right w:val="none" w:sz="0" w:space="0" w:color="auto"/>
                  </w:divBdr>
                </w:div>
                <w:div w:id="2043746182">
                  <w:marLeft w:val="0"/>
                  <w:marRight w:val="0"/>
                  <w:marTop w:val="0"/>
                  <w:marBottom w:val="0"/>
                  <w:divBdr>
                    <w:top w:val="none" w:sz="0" w:space="0" w:color="auto"/>
                    <w:left w:val="none" w:sz="0" w:space="0" w:color="auto"/>
                    <w:bottom w:val="none" w:sz="0" w:space="0" w:color="auto"/>
                    <w:right w:val="none" w:sz="0" w:space="0" w:color="auto"/>
                  </w:divBdr>
                </w:div>
                <w:div w:id="2138840307">
                  <w:marLeft w:val="0"/>
                  <w:marRight w:val="0"/>
                  <w:marTop w:val="0"/>
                  <w:marBottom w:val="0"/>
                  <w:divBdr>
                    <w:top w:val="none" w:sz="0" w:space="0" w:color="auto"/>
                    <w:left w:val="none" w:sz="0" w:space="0" w:color="auto"/>
                    <w:bottom w:val="none" w:sz="0" w:space="0" w:color="auto"/>
                    <w:right w:val="none" w:sz="0" w:space="0" w:color="auto"/>
                  </w:divBdr>
                </w:div>
                <w:div w:id="622149613">
                  <w:marLeft w:val="0"/>
                  <w:marRight w:val="0"/>
                  <w:marTop w:val="0"/>
                  <w:marBottom w:val="0"/>
                  <w:divBdr>
                    <w:top w:val="none" w:sz="0" w:space="0" w:color="auto"/>
                    <w:left w:val="none" w:sz="0" w:space="0" w:color="auto"/>
                    <w:bottom w:val="none" w:sz="0" w:space="0" w:color="auto"/>
                    <w:right w:val="none" w:sz="0" w:space="0" w:color="auto"/>
                  </w:divBdr>
                </w:div>
                <w:div w:id="14965886">
                  <w:marLeft w:val="0"/>
                  <w:marRight w:val="0"/>
                  <w:marTop w:val="0"/>
                  <w:marBottom w:val="0"/>
                  <w:divBdr>
                    <w:top w:val="none" w:sz="0" w:space="0" w:color="auto"/>
                    <w:left w:val="none" w:sz="0" w:space="0" w:color="auto"/>
                    <w:bottom w:val="none" w:sz="0" w:space="0" w:color="auto"/>
                    <w:right w:val="none" w:sz="0" w:space="0" w:color="auto"/>
                  </w:divBdr>
                </w:div>
                <w:div w:id="1833251203">
                  <w:marLeft w:val="0"/>
                  <w:marRight w:val="0"/>
                  <w:marTop w:val="0"/>
                  <w:marBottom w:val="0"/>
                  <w:divBdr>
                    <w:top w:val="none" w:sz="0" w:space="0" w:color="auto"/>
                    <w:left w:val="none" w:sz="0" w:space="0" w:color="auto"/>
                    <w:bottom w:val="none" w:sz="0" w:space="0" w:color="auto"/>
                    <w:right w:val="none" w:sz="0" w:space="0" w:color="auto"/>
                  </w:divBdr>
                </w:div>
                <w:div w:id="321081155">
                  <w:marLeft w:val="0"/>
                  <w:marRight w:val="0"/>
                  <w:marTop w:val="0"/>
                  <w:marBottom w:val="0"/>
                  <w:divBdr>
                    <w:top w:val="none" w:sz="0" w:space="0" w:color="auto"/>
                    <w:left w:val="none" w:sz="0" w:space="0" w:color="auto"/>
                    <w:bottom w:val="none" w:sz="0" w:space="0" w:color="auto"/>
                    <w:right w:val="none" w:sz="0" w:space="0" w:color="auto"/>
                  </w:divBdr>
                </w:div>
                <w:div w:id="1847135545">
                  <w:marLeft w:val="0"/>
                  <w:marRight w:val="0"/>
                  <w:marTop w:val="0"/>
                  <w:marBottom w:val="0"/>
                  <w:divBdr>
                    <w:top w:val="none" w:sz="0" w:space="0" w:color="auto"/>
                    <w:left w:val="none" w:sz="0" w:space="0" w:color="auto"/>
                    <w:bottom w:val="none" w:sz="0" w:space="0" w:color="auto"/>
                    <w:right w:val="none" w:sz="0" w:space="0" w:color="auto"/>
                  </w:divBdr>
                </w:div>
                <w:div w:id="1434280007">
                  <w:marLeft w:val="0"/>
                  <w:marRight w:val="0"/>
                  <w:marTop w:val="0"/>
                  <w:marBottom w:val="0"/>
                  <w:divBdr>
                    <w:top w:val="none" w:sz="0" w:space="0" w:color="auto"/>
                    <w:left w:val="none" w:sz="0" w:space="0" w:color="auto"/>
                    <w:bottom w:val="none" w:sz="0" w:space="0" w:color="auto"/>
                    <w:right w:val="none" w:sz="0" w:space="0" w:color="auto"/>
                  </w:divBdr>
                </w:div>
                <w:div w:id="879980097">
                  <w:marLeft w:val="0"/>
                  <w:marRight w:val="0"/>
                  <w:marTop w:val="0"/>
                  <w:marBottom w:val="0"/>
                  <w:divBdr>
                    <w:top w:val="none" w:sz="0" w:space="0" w:color="auto"/>
                    <w:left w:val="none" w:sz="0" w:space="0" w:color="auto"/>
                    <w:bottom w:val="none" w:sz="0" w:space="0" w:color="auto"/>
                    <w:right w:val="none" w:sz="0" w:space="0" w:color="auto"/>
                  </w:divBdr>
                </w:div>
                <w:div w:id="1685937016">
                  <w:marLeft w:val="0"/>
                  <w:marRight w:val="0"/>
                  <w:marTop w:val="0"/>
                  <w:marBottom w:val="0"/>
                  <w:divBdr>
                    <w:top w:val="none" w:sz="0" w:space="0" w:color="auto"/>
                    <w:left w:val="none" w:sz="0" w:space="0" w:color="auto"/>
                    <w:bottom w:val="none" w:sz="0" w:space="0" w:color="auto"/>
                    <w:right w:val="none" w:sz="0" w:space="0" w:color="auto"/>
                  </w:divBdr>
                </w:div>
                <w:div w:id="485126578">
                  <w:marLeft w:val="0"/>
                  <w:marRight w:val="0"/>
                  <w:marTop w:val="0"/>
                  <w:marBottom w:val="0"/>
                  <w:divBdr>
                    <w:top w:val="none" w:sz="0" w:space="0" w:color="auto"/>
                    <w:left w:val="none" w:sz="0" w:space="0" w:color="auto"/>
                    <w:bottom w:val="none" w:sz="0" w:space="0" w:color="auto"/>
                    <w:right w:val="none" w:sz="0" w:space="0" w:color="auto"/>
                  </w:divBdr>
                </w:div>
                <w:div w:id="1861356944">
                  <w:marLeft w:val="0"/>
                  <w:marRight w:val="0"/>
                  <w:marTop w:val="0"/>
                  <w:marBottom w:val="0"/>
                  <w:divBdr>
                    <w:top w:val="none" w:sz="0" w:space="0" w:color="auto"/>
                    <w:left w:val="none" w:sz="0" w:space="0" w:color="auto"/>
                    <w:bottom w:val="none" w:sz="0" w:space="0" w:color="auto"/>
                    <w:right w:val="none" w:sz="0" w:space="0" w:color="auto"/>
                  </w:divBdr>
                </w:div>
                <w:div w:id="1353801884">
                  <w:marLeft w:val="0"/>
                  <w:marRight w:val="0"/>
                  <w:marTop w:val="0"/>
                  <w:marBottom w:val="0"/>
                  <w:divBdr>
                    <w:top w:val="none" w:sz="0" w:space="0" w:color="auto"/>
                    <w:left w:val="none" w:sz="0" w:space="0" w:color="auto"/>
                    <w:bottom w:val="none" w:sz="0" w:space="0" w:color="auto"/>
                    <w:right w:val="none" w:sz="0" w:space="0" w:color="auto"/>
                  </w:divBdr>
                </w:div>
                <w:div w:id="1550606606">
                  <w:marLeft w:val="0"/>
                  <w:marRight w:val="0"/>
                  <w:marTop w:val="0"/>
                  <w:marBottom w:val="0"/>
                  <w:divBdr>
                    <w:top w:val="none" w:sz="0" w:space="0" w:color="auto"/>
                    <w:left w:val="none" w:sz="0" w:space="0" w:color="auto"/>
                    <w:bottom w:val="none" w:sz="0" w:space="0" w:color="auto"/>
                    <w:right w:val="none" w:sz="0" w:space="0" w:color="auto"/>
                  </w:divBdr>
                </w:div>
                <w:div w:id="63065408">
                  <w:marLeft w:val="0"/>
                  <w:marRight w:val="0"/>
                  <w:marTop w:val="0"/>
                  <w:marBottom w:val="0"/>
                  <w:divBdr>
                    <w:top w:val="none" w:sz="0" w:space="0" w:color="auto"/>
                    <w:left w:val="none" w:sz="0" w:space="0" w:color="auto"/>
                    <w:bottom w:val="none" w:sz="0" w:space="0" w:color="auto"/>
                    <w:right w:val="none" w:sz="0" w:space="0" w:color="auto"/>
                  </w:divBdr>
                </w:div>
                <w:div w:id="662586634">
                  <w:marLeft w:val="0"/>
                  <w:marRight w:val="0"/>
                  <w:marTop w:val="0"/>
                  <w:marBottom w:val="0"/>
                  <w:divBdr>
                    <w:top w:val="none" w:sz="0" w:space="0" w:color="auto"/>
                    <w:left w:val="none" w:sz="0" w:space="0" w:color="auto"/>
                    <w:bottom w:val="none" w:sz="0" w:space="0" w:color="auto"/>
                    <w:right w:val="none" w:sz="0" w:space="0" w:color="auto"/>
                  </w:divBdr>
                </w:div>
                <w:div w:id="986324024">
                  <w:marLeft w:val="0"/>
                  <w:marRight w:val="0"/>
                  <w:marTop w:val="0"/>
                  <w:marBottom w:val="0"/>
                  <w:divBdr>
                    <w:top w:val="none" w:sz="0" w:space="0" w:color="auto"/>
                    <w:left w:val="none" w:sz="0" w:space="0" w:color="auto"/>
                    <w:bottom w:val="none" w:sz="0" w:space="0" w:color="auto"/>
                    <w:right w:val="none" w:sz="0" w:space="0" w:color="auto"/>
                  </w:divBdr>
                </w:div>
                <w:div w:id="283387767">
                  <w:marLeft w:val="0"/>
                  <w:marRight w:val="0"/>
                  <w:marTop w:val="0"/>
                  <w:marBottom w:val="0"/>
                  <w:divBdr>
                    <w:top w:val="none" w:sz="0" w:space="0" w:color="auto"/>
                    <w:left w:val="none" w:sz="0" w:space="0" w:color="auto"/>
                    <w:bottom w:val="none" w:sz="0" w:space="0" w:color="auto"/>
                    <w:right w:val="none" w:sz="0" w:space="0" w:color="auto"/>
                  </w:divBdr>
                </w:div>
                <w:div w:id="103694639">
                  <w:marLeft w:val="0"/>
                  <w:marRight w:val="0"/>
                  <w:marTop w:val="0"/>
                  <w:marBottom w:val="0"/>
                  <w:divBdr>
                    <w:top w:val="none" w:sz="0" w:space="0" w:color="auto"/>
                    <w:left w:val="none" w:sz="0" w:space="0" w:color="auto"/>
                    <w:bottom w:val="none" w:sz="0" w:space="0" w:color="auto"/>
                    <w:right w:val="none" w:sz="0" w:space="0" w:color="auto"/>
                  </w:divBdr>
                </w:div>
                <w:div w:id="1168444268">
                  <w:marLeft w:val="0"/>
                  <w:marRight w:val="0"/>
                  <w:marTop w:val="0"/>
                  <w:marBottom w:val="0"/>
                  <w:divBdr>
                    <w:top w:val="none" w:sz="0" w:space="0" w:color="auto"/>
                    <w:left w:val="none" w:sz="0" w:space="0" w:color="auto"/>
                    <w:bottom w:val="none" w:sz="0" w:space="0" w:color="auto"/>
                    <w:right w:val="none" w:sz="0" w:space="0" w:color="auto"/>
                  </w:divBdr>
                </w:div>
                <w:div w:id="1172796977">
                  <w:marLeft w:val="0"/>
                  <w:marRight w:val="0"/>
                  <w:marTop w:val="0"/>
                  <w:marBottom w:val="0"/>
                  <w:divBdr>
                    <w:top w:val="none" w:sz="0" w:space="0" w:color="auto"/>
                    <w:left w:val="none" w:sz="0" w:space="0" w:color="auto"/>
                    <w:bottom w:val="none" w:sz="0" w:space="0" w:color="auto"/>
                    <w:right w:val="none" w:sz="0" w:space="0" w:color="auto"/>
                  </w:divBdr>
                </w:div>
                <w:div w:id="1572085087">
                  <w:marLeft w:val="0"/>
                  <w:marRight w:val="0"/>
                  <w:marTop w:val="0"/>
                  <w:marBottom w:val="0"/>
                  <w:divBdr>
                    <w:top w:val="none" w:sz="0" w:space="0" w:color="auto"/>
                    <w:left w:val="none" w:sz="0" w:space="0" w:color="auto"/>
                    <w:bottom w:val="none" w:sz="0" w:space="0" w:color="auto"/>
                    <w:right w:val="none" w:sz="0" w:space="0" w:color="auto"/>
                  </w:divBdr>
                </w:div>
                <w:div w:id="1595746309">
                  <w:marLeft w:val="0"/>
                  <w:marRight w:val="0"/>
                  <w:marTop w:val="0"/>
                  <w:marBottom w:val="0"/>
                  <w:divBdr>
                    <w:top w:val="none" w:sz="0" w:space="0" w:color="auto"/>
                    <w:left w:val="none" w:sz="0" w:space="0" w:color="auto"/>
                    <w:bottom w:val="none" w:sz="0" w:space="0" w:color="auto"/>
                    <w:right w:val="none" w:sz="0" w:space="0" w:color="auto"/>
                  </w:divBdr>
                </w:div>
                <w:div w:id="1406487764">
                  <w:marLeft w:val="0"/>
                  <w:marRight w:val="0"/>
                  <w:marTop w:val="0"/>
                  <w:marBottom w:val="0"/>
                  <w:divBdr>
                    <w:top w:val="none" w:sz="0" w:space="0" w:color="auto"/>
                    <w:left w:val="none" w:sz="0" w:space="0" w:color="auto"/>
                    <w:bottom w:val="none" w:sz="0" w:space="0" w:color="auto"/>
                    <w:right w:val="none" w:sz="0" w:space="0" w:color="auto"/>
                  </w:divBdr>
                </w:div>
                <w:div w:id="50618029">
                  <w:marLeft w:val="0"/>
                  <w:marRight w:val="0"/>
                  <w:marTop w:val="0"/>
                  <w:marBottom w:val="0"/>
                  <w:divBdr>
                    <w:top w:val="none" w:sz="0" w:space="0" w:color="auto"/>
                    <w:left w:val="none" w:sz="0" w:space="0" w:color="auto"/>
                    <w:bottom w:val="none" w:sz="0" w:space="0" w:color="auto"/>
                    <w:right w:val="none" w:sz="0" w:space="0" w:color="auto"/>
                  </w:divBdr>
                </w:div>
                <w:div w:id="1143039135">
                  <w:marLeft w:val="0"/>
                  <w:marRight w:val="0"/>
                  <w:marTop w:val="0"/>
                  <w:marBottom w:val="0"/>
                  <w:divBdr>
                    <w:top w:val="none" w:sz="0" w:space="0" w:color="auto"/>
                    <w:left w:val="none" w:sz="0" w:space="0" w:color="auto"/>
                    <w:bottom w:val="none" w:sz="0" w:space="0" w:color="auto"/>
                    <w:right w:val="none" w:sz="0" w:space="0" w:color="auto"/>
                  </w:divBdr>
                </w:div>
                <w:div w:id="1498961168">
                  <w:marLeft w:val="0"/>
                  <w:marRight w:val="0"/>
                  <w:marTop w:val="0"/>
                  <w:marBottom w:val="0"/>
                  <w:divBdr>
                    <w:top w:val="none" w:sz="0" w:space="0" w:color="auto"/>
                    <w:left w:val="none" w:sz="0" w:space="0" w:color="auto"/>
                    <w:bottom w:val="none" w:sz="0" w:space="0" w:color="auto"/>
                    <w:right w:val="none" w:sz="0" w:space="0" w:color="auto"/>
                  </w:divBdr>
                </w:div>
                <w:div w:id="1439375608">
                  <w:marLeft w:val="0"/>
                  <w:marRight w:val="0"/>
                  <w:marTop w:val="0"/>
                  <w:marBottom w:val="0"/>
                  <w:divBdr>
                    <w:top w:val="none" w:sz="0" w:space="0" w:color="auto"/>
                    <w:left w:val="none" w:sz="0" w:space="0" w:color="auto"/>
                    <w:bottom w:val="none" w:sz="0" w:space="0" w:color="auto"/>
                    <w:right w:val="none" w:sz="0" w:space="0" w:color="auto"/>
                  </w:divBdr>
                </w:div>
                <w:div w:id="1771657368">
                  <w:marLeft w:val="0"/>
                  <w:marRight w:val="0"/>
                  <w:marTop w:val="0"/>
                  <w:marBottom w:val="0"/>
                  <w:divBdr>
                    <w:top w:val="none" w:sz="0" w:space="0" w:color="auto"/>
                    <w:left w:val="none" w:sz="0" w:space="0" w:color="auto"/>
                    <w:bottom w:val="none" w:sz="0" w:space="0" w:color="auto"/>
                    <w:right w:val="none" w:sz="0" w:space="0" w:color="auto"/>
                  </w:divBdr>
                </w:div>
                <w:div w:id="1865362178">
                  <w:marLeft w:val="0"/>
                  <w:marRight w:val="0"/>
                  <w:marTop w:val="0"/>
                  <w:marBottom w:val="0"/>
                  <w:divBdr>
                    <w:top w:val="none" w:sz="0" w:space="0" w:color="auto"/>
                    <w:left w:val="none" w:sz="0" w:space="0" w:color="auto"/>
                    <w:bottom w:val="none" w:sz="0" w:space="0" w:color="auto"/>
                    <w:right w:val="none" w:sz="0" w:space="0" w:color="auto"/>
                  </w:divBdr>
                </w:div>
                <w:div w:id="2029285322">
                  <w:marLeft w:val="0"/>
                  <w:marRight w:val="0"/>
                  <w:marTop w:val="0"/>
                  <w:marBottom w:val="0"/>
                  <w:divBdr>
                    <w:top w:val="none" w:sz="0" w:space="0" w:color="auto"/>
                    <w:left w:val="none" w:sz="0" w:space="0" w:color="auto"/>
                    <w:bottom w:val="none" w:sz="0" w:space="0" w:color="auto"/>
                    <w:right w:val="none" w:sz="0" w:space="0" w:color="auto"/>
                  </w:divBdr>
                </w:div>
                <w:div w:id="815488140">
                  <w:marLeft w:val="0"/>
                  <w:marRight w:val="0"/>
                  <w:marTop w:val="0"/>
                  <w:marBottom w:val="0"/>
                  <w:divBdr>
                    <w:top w:val="none" w:sz="0" w:space="0" w:color="auto"/>
                    <w:left w:val="none" w:sz="0" w:space="0" w:color="auto"/>
                    <w:bottom w:val="none" w:sz="0" w:space="0" w:color="auto"/>
                    <w:right w:val="none" w:sz="0" w:space="0" w:color="auto"/>
                  </w:divBdr>
                </w:div>
                <w:div w:id="476384453">
                  <w:marLeft w:val="0"/>
                  <w:marRight w:val="0"/>
                  <w:marTop w:val="0"/>
                  <w:marBottom w:val="0"/>
                  <w:divBdr>
                    <w:top w:val="none" w:sz="0" w:space="0" w:color="auto"/>
                    <w:left w:val="none" w:sz="0" w:space="0" w:color="auto"/>
                    <w:bottom w:val="none" w:sz="0" w:space="0" w:color="auto"/>
                    <w:right w:val="none" w:sz="0" w:space="0" w:color="auto"/>
                  </w:divBdr>
                </w:div>
                <w:div w:id="1713383785">
                  <w:marLeft w:val="0"/>
                  <w:marRight w:val="0"/>
                  <w:marTop w:val="0"/>
                  <w:marBottom w:val="0"/>
                  <w:divBdr>
                    <w:top w:val="none" w:sz="0" w:space="0" w:color="auto"/>
                    <w:left w:val="none" w:sz="0" w:space="0" w:color="auto"/>
                    <w:bottom w:val="none" w:sz="0" w:space="0" w:color="auto"/>
                    <w:right w:val="none" w:sz="0" w:space="0" w:color="auto"/>
                  </w:divBdr>
                </w:div>
                <w:div w:id="943154435">
                  <w:marLeft w:val="0"/>
                  <w:marRight w:val="0"/>
                  <w:marTop w:val="0"/>
                  <w:marBottom w:val="0"/>
                  <w:divBdr>
                    <w:top w:val="none" w:sz="0" w:space="0" w:color="auto"/>
                    <w:left w:val="none" w:sz="0" w:space="0" w:color="auto"/>
                    <w:bottom w:val="none" w:sz="0" w:space="0" w:color="auto"/>
                    <w:right w:val="none" w:sz="0" w:space="0" w:color="auto"/>
                  </w:divBdr>
                </w:div>
                <w:div w:id="1180580542">
                  <w:marLeft w:val="0"/>
                  <w:marRight w:val="0"/>
                  <w:marTop w:val="0"/>
                  <w:marBottom w:val="0"/>
                  <w:divBdr>
                    <w:top w:val="none" w:sz="0" w:space="0" w:color="auto"/>
                    <w:left w:val="none" w:sz="0" w:space="0" w:color="auto"/>
                    <w:bottom w:val="none" w:sz="0" w:space="0" w:color="auto"/>
                    <w:right w:val="none" w:sz="0" w:space="0" w:color="auto"/>
                  </w:divBdr>
                </w:div>
                <w:div w:id="740054678">
                  <w:marLeft w:val="0"/>
                  <w:marRight w:val="0"/>
                  <w:marTop w:val="0"/>
                  <w:marBottom w:val="0"/>
                  <w:divBdr>
                    <w:top w:val="none" w:sz="0" w:space="0" w:color="auto"/>
                    <w:left w:val="none" w:sz="0" w:space="0" w:color="auto"/>
                    <w:bottom w:val="none" w:sz="0" w:space="0" w:color="auto"/>
                    <w:right w:val="none" w:sz="0" w:space="0" w:color="auto"/>
                  </w:divBdr>
                </w:div>
                <w:div w:id="1384788231">
                  <w:marLeft w:val="0"/>
                  <w:marRight w:val="0"/>
                  <w:marTop w:val="0"/>
                  <w:marBottom w:val="0"/>
                  <w:divBdr>
                    <w:top w:val="none" w:sz="0" w:space="0" w:color="auto"/>
                    <w:left w:val="none" w:sz="0" w:space="0" w:color="auto"/>
                    <w:bottom w:val="none" w:sz="0" w:space="0" w:color="auto"/>
                    <w:right w:val="none" w:sz="0" w:space="0" w:color="auto"/>
                  </w:divBdr>
                </w:div>
                <w:div w:id="2101482226">
                  <w:marLeft w:val="0"/>
                  <w:marRight w:val="0"/>
                  <w:marTop w:val="0"/>
                  <w:marBottom w:val="0"/>
                  <w:divBdr>
                    <w:top w:val="none" w:sz="0" w:space="0" w:color="auto"/>
                    <w:left w:val="none" w:sz="0" w:space="0" w:color="auto"/>
                    <w:bottom w:val="none" w:sz="0" w:space="0" w:color="auto"/>
                    <w:right w:val="none" w:sz="0" w:space="0" w:color="auto"/>
                  </w:divBdr>
                </w:div>
                <w:div w:id="1470975555">
                  <w:marLeft w:val="0"/>
                  <w:marRight w:val="0"/>
                  <w:marTop w:val="0"/>
                  <w:marBottom w:val="0"/>
                  <w:divBdr>
                    <w:top w:val="none" w:sz="0" w:space="0" w:color="auto"/>
                    <w:left w:val="none" w:sz="0" w:space="0" w:color="auto"/>
                    <w:bottom w:val="none" w:sz="0" w:space="0" w:color="auto"/>
                    <w:right w:val="none" w:sz="0" w:space="0" w:color="auto"/>
                  </w:divBdr>
                </w:div>
                <w:div w:id="1855919675">
                  <w:marLeft w:val="0"/>
                  <w:marRight w:val="0"/>
                  <w:marTop w:val="0"/>
                  <w:marBottom w:val="0"/>
                  <w:divBdr>
                    <w:top w:val="none" w:sz="0" w:space="0" w:color="auto"/>
                    <w:left w:val="none" w:sz="0" w:space="0" w:color="auto"/>
                    <w:bottom w:val="none" w:sz="0" w:space="0" w:color="auto"/>
                    <w:right w:val="none" w:sz="0" w:space="0" w:color="auto"/>
                  </w:divBdr>
                </w:div>
                <w:div w:id="1995336624">
                  <w:marLeft w:val="0"/>
                  <w:marRight w:val="0"/>
                  <w:marTop w:val="0"/>
                  <w:marBottom w:val="0"/>
                  <w:divBdr>
                    <w:top w:val="none" w:sz="0" w:space="0" w:color="auto"/>
                    <w:left w:val="none" w:sz="0" w:space="0" w:color="auto"/>
                    <w:bottom w:val="none" w:sz="0" w:space="0" w:color="auto"/>
                    <w:right w:val="none" w:sz="0" w:space="0" w:color="auto"/>
                  </w:divBdr>
                </w:div>
                <w:div w:id="1814325862">
                  <w:marLeft w:val="0"/>
                  <w:marRight w:val="0"/>
                  <w:marTop w:val="0"/>
                  <w:marBottom w:val="0"/>
                  <w:divBdr>
                    <w:top w:val="none" w:sz="0" w:space="0" w:color="auto"/>
                    <w:left w:val="none" w:sz="0" w:space="0" w:color="auto"/>
                    <w:bottom w:val="none" w:sz="0" w:space="0" w:color="auto"/>
                    <w:right w:val="none" w:sz="0" w:space="0" w:color="auto"/>
                  </w:divBdr>
                </w:div>
                <w:div w:id="1926111822">
                  <w:marLeft w:val="0"/>
                  <w:marRight w:val="0"/>
                  <w:marTop w:val="0"/>
                  <w:marBottom w:val="0"/>
                  <w:divBdr>
                    <w:top w:val="none" w:sz="0" w:space="0" w:color="auto"/>
                    <w:left w:val="none" w:sz="0" w:space="0" w:color="auto"/>
                    <w:bottom w:val="none" w:sz="0" w:space="0" w:color="auto"/>
                    <w:right w:val="none" w:sz="0" w:space="0" w:color="auto"/>
                  </w:divBdr>
                </w:div>
                <w:div w:id="687606022">
                  <w:marLeft w:val="0"/>
                  <w:marRight w:val="0"/>
                  <w:marTop w:val="0"/>
                  <w:marBottom w:val="0"/>
                  <w:divBdr>
                    <w:top w:val="none" w:sz="0" w:space="0" w:color="auto"/>
                    <w:left w:val="none" w:sz="0" w:space="0" w:color="auto"/>
                    <w:bottom w:val="none" w:sz="0" w:space="0" w:color="auto"/>
                    <w:right w:val="none" w:sz="0" w:space="0" w:color="auto"/>
                  </w:divBdr>
                </w:div>
                <w:div w:id="806511977">
                  <w:marLeft w:val="0"/>
                  <w:marRight w:val="0"/>
                  <w:marTop w:val="0"/>
                  <w:marBottom w:val="0"/>
                  <w:divBdr>
                    <w:top w:val="none" w:sz="0" w:space="0" w:color="auto"/>
                    <w:left w:val="none" w:sz="0" w:space="0" w:color="auto"/>
                    <w:bottom w:val="none" w:sz="0" w:space="0" w:color="auto"/>
                    <w:right w:val="none" w:sz="0" w:space="0" w:color="auto"/>
                  </w:divBdr>
                </w:div>
                <w:div w:id="229316720">
                  <w:marLeft w:val="0"/>
                  <w:marRight w:val="0"/>
                  <w:marTop w:val="0"/>
                  <w:marBottom w:val="0"/>
                  <w:divBdr>
                    <w:top w:val="none" w:sz="0" w:space="0" w:color="auto"/>
                    <w:left w:val="none" w:sz="0" w:space="0" w:color="auto"/>
                    <w:bottom w:val="none" w:sz="0" w:space="0" w:color="auto"/>
                    <w:right w:val="none" w:sz="0" w:space="0" w:color="auto"/>
                  </w:divBdr>
                </w:div>
                <w:div w:id="54669525">
                  <w:marLeft w:val="0"/>
                  <w:marRight w:val="0"/>
                  <w:marTop w:val="0"/>
                  <w:marBottom w:val="0"/>
                  <w:divBdr>
                    <w:top w:val="none" w:sz="0" w:space="0" w:color="auto"/>
                    <w:left w:val="none" w:sz="0" w:space="0" w:color="auto"/>
                    <w:bottom w:val="none" w:sz="0" w:space="0" w:color="auto"/>
                    <w:right w:val="none" w:sz="0" w:space="0" w:color="auto"/>
                  </w:divBdr>
                </w:div>
                <w:div w:id="1645507224">
                  <w:marLeft w:val="0"/>
                  <w:marRight w:val="0"/>
                  <w:marTop w:val="0"/>
                  <w:marBottom w:val="0"/>
                  <w:divBdr>
                    <w:top w:val="none" w:sz="0" w:space="0" w:color="auto"/>
                    <w:left w:val="none" w:sz="0" w:space="0" w:color="auto"/>
                    <w:bottom w:val="none" w:sz="0" w:space="0" w:color="auto"/>
                    <w:right w:val="none" w:sz="0" w:space="0" w:color="auto"/>
                  </w:divBdr>
                </w:div>
                <w:div w:id="1496065122">
                  <w:marLeft w:val="0"/>
                  <w:marRight w:val="0"/>
                  <w:marTop w:val="0"/>
                  <w:marBottom w:val="0"/>
                  <w:divBdr>
                    <w:top w:val="none" w:sz="0" w:space="0" w:color="auto"/>
                    <w:left w:val="none" w:sz="0" w:space="0" w:color="auto"/>
                    <w:bottom w:val="none" w:sz="0" w:space="0" w:color="auto"/>
                    <w:right w:val="none" w:sz="0" w:space="0" w:color="auto"/>
                  </w:divBdr>
                </w:div>
                <w:div w:id="1748770692">
                  <w:marLeft w:val="0"/>
                  <w:marRight w:val="0"/>
                  <w:marTop w:val="0"/>
                  <w:marBottom w:val="0"/>
                  <w:divBdr>
                    <w:top w:val="none" w:sz="0" w:space="0" w:color="auto"/>
                    <w:left w:val="none" w:sz="0" w:space="0" w:color="auto"/>
                    <w:bottom w:val="none" w:sz="0" w:space="0" w:color="auto"/>
                    <w:right w:val="none" w:sz="0" w:space="0" w:color="auto"/>
                  </w:divBdr>
                </w:div>
                <w:div w:id="349188280">
                  <w:marLeft w:val="0"/>
                  <w:marRight w:val="0"/>
                  <w:marTop w:val="0"/>
                  <w:marBottom w:val="0"/>
                  <w:divBdr>
                    <w:top w:val="none" w:sz="0" w:space="0" w:color="auto"/>
                    <w:left w:val="none" w:sz="0" w:space="0" w:color="auto"/>
                    <w:bottom w:val="none" w:sz="0" w:space="0" w:color="auto"/>
                    <w:right w:val="none" w:sz="0" w:space="0" w:color="auto"/>
                  </w:divBdr>
                </w:div>
                <w:div w:id="745372422">
                  <w:marLeft w:val="0"/>
                  <w:marRight w:val="0"/>
                  <w:marTop w:val="0"/>
                  <w:marBottom w:val="0"/>
                  <w:divBdr>
                    <w:top w:val="none" w:sz="0" w:space="0" w:color="auto"/>
                    <w:left w:val="none" w:sz="0" w:space="0" w:color="auto"/>
                    <w:bottom w:val="none" w:sz="0" w:space="0" w:color="auto"/>
                    <w:right w:val="none" w:sz="0" w:space="0" w:color="auto"/>
                  </w:divBdr>
                </w:div>
                <w:div w:id="1059203768">
                  <w:marLeft w:val="0"/>
                  <w:marRight w:val="0"/>
                  <w:marTop w:val="0"/>
                  <w:marBottom w:val="0"/>
                  <w:divBdr>
                    <w:top w:val="none" w:sz="0" w:space="0" w:color="auto"/>
                    <w:left w:val="none" w:sz="0" w:space="0" w:color="auto"/>
                    <w:bottom w:val="none" w:sz="0" w:space="0" w:color="auto"/>
                    <w:right w:val="none" w:sz="0" w:space="0" w:color="auto"/>
                  </w:divBdr>
                </w:div>
                <w:div w:id="1813978651">
                  <w:marLeft w:val="0"/>
                  <w:marRight w:val="0"/>
                  <w:marTop w:val="0"/>
                  <w:marBottom w:val="0"/>
                  <w:divBdr>
                    <w:top w:val="none" w:sz="0" w:space="0" w:color="auto"/>
                    <w:left w:val="none" w:sz="0" w:space="0" w:color="auto"/>
                    <w:bottom w:val="none" w:sz="0" w:space="0" w:color="auto"/>
                    <w:right w:val="none" w:sz="0" w:space="0" w:color="auto"/>
                  </w:divBdr>
                </w:div>
                <w:div w:id="234363408">
                  <w:marLeft w:val="0"/>
                  <w:marRight w:val="0"/>
                  <w:marTop w:val="0"/>
                  <w:marBottom w:val="0"/>
                  <w:divBdr>
                    <w:top w:val="none" w:sz="0" w:space="0" w:color="auto"/>
                    <w:left w:val="none" w:sz="0" w:space="0" w:color="auto"/>
                    <w:bottom w:val="none" w:sz="0" w:space="0" w:color="auto"/>
                    <w:right w:val="none" w:sz="0" w:space="0" w:color="auto"/>
                  </w:divBdr>
                </w:div>
                <w:div w:id="1556500840">
                  <w:marLeft w:val="0"/>
                  <w:marRight w:val="0"/>
                  <w:marTop w:val="0"/>
                  <w:marBottom w:val="0"/>
                  <w:divBdr>
                    <w:top w:val="none" w:sz="0" w:space="0" w:color="auto"/>
                    <w:left w:val="none" w:sz="0" w:space="0" w:color="auto"/>
                    <w:bottom w:val="none" w:sz="0" w:space="0" w:color="auto"/>
                    <w:right w:val="none" w:sz="0" w:space="0" w:color="auto"/>
                  </w:divBdr>
                </w:div>
                <w:div w:id="337972447">
                  <w:marLeft w:val="0"/>
                  <w:marRight w:val="0"/>
                  <w:marTop w:val="0"/>
                  <w:marBottom w:val="0"/>
                  <w:divBdr>
                    <w:top w:val="none" w:sz="0" w:space="0" w:color="auto"/>
                    <w:left w:val="none" w:sz="0" w:space="0" w:color="auto"/>
                    <w:bottom w:val="none" w:sz="0" w:space="0" w:color="auto"/>
                    <w:right w:val="none" w:sz="0" w:space="0" w:color="auto"/>
                  </w:divBdr>
                </w:div>
                <w:div w:id="1184780993">
                  <w:marLeft w:val="0"/>
                  <w:marRight w:val="0"/>
                  <w:marTop w:val="0"/>
                  <w:marBottom w:val="0"/>
                  <w:divBdr>
                    <w:top w:val="none" w:sz="0" w:space="0" w:color="auto"/>
                    <w:left w:val="none" w:sz="0" w:space="0" w:color="auto"/>
                    <w:bottom w:val="none" w:sz="0" w:space="0" w:color="auto"/>
                    <w:right w:val="none" w:sz="0" w:space="0" w:color="auto"/>
                  </w:divBdr>
                </w:div>
                <w:div w:id="1157377628">
                  <w:marLeft w:val="0"/>
                  <w:marRight w:val="0"/>
                  <w:marTop w:val="0"/>
                  <w:marBottom w:val="0"/>
                  <w:divBdr>
                    <w:top w:val="none" w:sz="0" w:space="0" w:color="auto"/>
                    <w:left w:val="none" w:sz="0" w:space="0" w:color="auto"/>
                    <w:bottom w:val="none" w:sz="0" w:space="0" w:color="auto"/>
                    <w:right w:val="none" w:sz="0" w:space="0" w:color="auto"/>
                  </w:divBdr>
                </w:div>
                <w:div w:id="616134338">
                  <w:marLeft w:val="0"/>
                  <w:marRight w:val="0"/>
                  <w:marTop w:val="0"/>
                  <w:marBottom w:val="0"/>
                  <w:divBdr>
                    <w:top w:val="none" w:sz="0" w:space="0" w:color="auto"/>
                    <w:left w:val="none" w:sz="0" w:space="0" w:color="auto"/>
                    <w:bottom w:val="none" w:sz="0" w:space="0" w:color="auto"/>
                    <w:right w:val="none" w:sz="0" w:space="0" w:color="auto"/>
                  </w:divBdr>
                </w:div>
                <w:div w:id="160433388">
                  <w:marLeft w:val="0"/>
                  <w:marRight w:val="0"/>
                  <w:marTop w:val="0"/>
                  <w:marBottom w:val="0"/>
                  <w:divBdr>
                    <w:top w:val="none" w:sz="0" w:space="0" w:color="auto"/>
                    <w:left w:val="none" w:sz="0" w:space="0" w:color="auto"/>
                    <w:bottom w:val="none" w:sz="0" w:space="0" w:color="auto"/>
                    <w:right w:val="none" w:sz="0" w:space="0" w:color="auto"/>
                  </w:divBdr>
                </w:div>
                <w:div w:id="1692343353">
                  <w:marLeft w:val="0"/>
                  <w:marRight w:val="0"/>
                  <w:marTop w:val="0"/>
                  <w:marBottom w:val="0"/>
                  <w:divBdr>
                    <w:top w:val="none" w:sz="0" w:space="0" w:color="auto"/>
                    <w:left w:val="none" w:sz="0" w:space="0" w:color="auto"/>
                    <w:bottom w:val="none" w:sz="0" w:space="0" w:color="auto"/>
                    <w:right w:val="none" w:sz="0" w:space="0" w:color="auto"/>
                  </w:divBdr>
                </w:div>
                <w:div w:id="971247159">
                  <w:marLeft w:val="0"/>
                  <w:marRight w:val="0"/>
                  <w:marTop w:val="0"/>
                  <w:marBottom w:val="0"/>
                  <w:divBdr>
                    <w:top w:val="none" w:sz="0" w:space="0" w:color="auto"/>
                    <w:left w:val="none" w:sz="0" w:space="0" w:color="auto"/>
                    <w:bottom w:val="none" w:sz="0" w:space="0" w:color="auto"/>
                    <w:right w:val="none" w:sz="0" w:space="0" w:color="auto"/>
                  </w:divBdr>
                </w:div>
                <w:div w:id="1347516272">
                  <w:marLeft w:val="0"/>
                  <w:marRight w:val="0"/>
                  <w:marTop w:val="0"/>
                  <w:marBottom w:val="0"/>
                  <w:divBdr>
                    <w:top w:val="none" w:sz="0" w:space="0" w:color="auto"/>
                    <w:left w:val="none" w:sz="0" w:space="0" w:color="auto"/>
                    <w:bottom w:val="none" w:sz="0" w:space="0" w:color="auto"/>
                    <w:right w:val="none" w:sz="0" w:space="0" w:color="auto"/>
                  </w:divBdr>
                </w:div>
                <w:div w:id="931476178">
                  <w:marLeft w:val="0"/>
                  <w:marRight w:val="0"/>
                  <w:marTop w:val="0"/>
                  <w:marBottom w:val="0"/>
                  <w:divBdr>
                    <w:top w:val="none" w:sz="0" w:space="0" w:color="auto"/>
                    <w:left w:val="none" w:sz="0" w:space="0" w:color="auto"/>
                    <w:bottom w:val="none" w:sz="0" w:space="0" w:color="auto"/>
                    <w:right w:val="none" w:sz="0" w:space="0" w:color="auto"/>
                  </w:divBdr>
                </w:div>
                <w:div w:id="986711621">
                  <w:marLeft w:val="0"/>
                  <w:marRight w:val="0"/>
                  <w:marTop w:val="0"/>
                  <w:marBottom w:val="0"/>
                  <w:divBdr>
                    <w:top w:val="none" w:sz="0" w:space="0" w:color="auto"/>
                    <w:left w:val="none" w:sz="0" w:space="0" w:color="auto"/>
                    <w:bottom w:val="none" w:sz="0" w:space="0" w:color="auto"/>
                    <w:right w:val="none" w:sz="0" w:space="0" w:color="auto"/>
                  </w:divBdr>
                </w:div>
                <w:div w:id="476192961">
                  <w:marLeft w:val="0"/>
                  <w:marRight w:val="0"/>
                  <w:marTop w:val="0"/>
                  <w:marBottom w:val="0"/>
                  <w:divBdr>
                    <w:top w:val="none" w:sz="0" w:space="0" w:color="auto"/>
                    <w:left w:val="none" w:sz="0" w:space="0" w:color="auto"/>
                    <w:bottom w:val="none" w:sz="0" w:space="0" w:color="auto"/>
                    <w:right w:val="none" w:sz="0" w:space="0" w:color="auto"/>
                  </w:divBdr>
                </w:div>
                <w:div w:id="750470809">
                  <w:marLeft w:val="0"/>
                  <w:marRight w:val="0"/>
                  <w:marTop w:val="0"/>
                  <w:marBottom w:val="0"/>
                  <w:divBdr>
                    <w:top w:val="none" w:sz="0" w:space="0" w:color="auto"/>
                    <w:left w:val="none" w:sz="0" w:space="0" w:color="auto"/>
                    <w:bottom w:val="none" w:sz="0" w:space="0" w:color="auto"/>
                    <w:right w:val="none" w:sz="0" w:space="0" w:color="auto"/>
                  </w:divBdr>
                </w:div>
                <w:div w:id="50271840">
                  <w:marLeft w:val="0"/>
                  <w:marRight w:val="0"/>
                  <w:marTop w:val="0"/>
                  <w:marBottom w:val="0"/>
                  <w:divBdr>
                    <w:top w:val="none" w:sz="0" w:space="0" w:color="auto"/>
                    <w:left w:val="none" w:sz="0" w:space="0" w:color="auto"/>
                    <w:bottom w:val="none" w:sz="0" w:space="0" w:color="auto"/>
                    <w:right w:val="none" w:sz="0" w:space="0" w:color="auto"/>
                  </w:divBdr>
                </w:div>
                <w:div w:id="1584727942">
                  <w:marLeft w:val="0"/>
                  <w:marRight w:val="0"/>
                  <w:marTop w:val="0"/>
                  <w:marBottom w:val="0"/>
                  <w:divBdr>
                    <w:top w:val="none" w:sz="0" w:space="0" w:color="auto"/>
                    <w:left w:val="none" w:sz="0" w:space="0" w:color="auto"/>
                    <w:bottom w:val="none" w:sz="0" w:space="0" w:color="auto"/>
                    <w:right w:val="none" w:sz="0" w:space="0" w:color="auto"/>
                  </w:divBdr>
                </w:div>
                <w:div w:id="6303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7725">
          <w:marLeft w:val="0"/>
          <w:marRight w:val="0"/>
          <w:marTop w:val="0"/>
          <w:marBottom w:val="0"/>
          <w:divBdr>
            <w:top w:val="none" w:sz="0" w:space="0" w:color="auto"/>
            <w:left w:val="none" w:sz="0" w:space="0" w:color="auto"/>
            <w:bottom w:val="none" w:sz="0" w:space="0" w:color="auto"/>
            <w:right w:val="none" w:sz="0" w:space="0" w:color="auto"/>
          </w:divBdr>
        </w:div>
        <w:div w:id="984775913">
          <w:marLeft w:val="0"/>
          <w:marRight w:val="0"/>
          <w:marTop w:val="0"/>
          <w:marBottom w:val="0"/>
          <w:divBdr>
            <w:top w:val="none" w:sz="0" w:space="0" w:color="auto"/>
            <w:left w:val="none" w:sz="0" w:space="0" w:color="auto"/>
            <w:bottom w:val="none" w:sz="0" w:space="0" w:color="auto"/>
            <w:right w:val="none" w:sz="0" w:space="0" w:color="auto"/>
          </w:divBdr>
        </w:div>
        <w:div w:id="399602412">
          <w:marLeft w:val="0"/>
          <w:marRight w:val="0"/>
          <w:marTop w:val="0"/>
          <w:marBottom w:val="0"/>
          <w:divBdr>
            <w:top w:val="none" w:sz="0" w:space="0" w:color="auto"/>
            <w:left w:val="none" w:sz="0" w:space="0" w:color="auto"/>
            <w:bottom w:val="none" w:sz="0" w:space="0" w:color="auto"/>
            <w:right w:val="none" w:sz="0" w:space="0" w:color="auto"/>
          </w:divBdr>
        </w:div>
        <w:div w:id="2089496517">
          <w:marLeft w:val="0"/>
          <w:marRight w:val="0"/>
          <w:marTop w:val="0"/>
          <w:marBottom w:val="0"/>
          <w:divBdr>
            <w:top w:val="none" w:sz="0" w:space="0" w:color="auto"/>
            <w:left w:val="none" w:sz="0" w:space="0" w:color="auto"/>
            <w:bottom w:val="none" w:sz="0" w:space="0" w:color="auto"/>
            <w:right w:val="none" w:sz="0" w:space="0" w:color="auto"/>
          </w:divBdr>
        </w:div>
        <w:div w:id="979110100">
          <w:marLeft w:val="0"/>
          <w:marRight w:val="0"/>
          <w:marTop w:val="0"/>
          <w:marBottom w:val="0"/>
          <w:divBdr>
            <w:top w:val="none" w:sz="0" w:space="0" w:color="auto"/>
            <w:left w:val="none" w:sz="0" w:space="0" w:color="auto"/>
            <w:bottom w:val="none" w:sz="0" w:space="0" w:color="auto"/>
            <w:right w:val="none" w:sz="0" w:space="0" w:color="auto"/>
          </w:divBdr>
        </w:div>
        <w:div w:id="706563555">
          <w:marLeft w:val="0"/>
          <w:marRight w:val="0"/>
          <w:marTop w:val="0"/>
          <w:marBottom w:val="0"/>
          <w:divBdr>
            <w:top w:val="none" w:sz="0" w:space="0" w:color="auto"/>
            <w:left w:val="none" w:sz="0" w:space="0" w:color="auto"/>
            <w:bottom w:val="none" w:sz="0" w:space="0" w:color="auto"/>
            <w:right w:val="none" w:sz="0" w:space="0" w:color="auto"/>
          </w:divBdr>
        </w:div>
        <w:div w:id="219290897">
          <w:marLeft w:val="0"/>
          <w:marRight w:val="0"/>
          <w:marTop w:val="0"/>
          <w:marBottom w:val="0"/>
          <w:divBdr>
            <w:top w:val="none" w:sz="0" w:space="0" w:color="auto"/>
            <w:left w:val="none" w:sz="0" w:space="0" w:color="auto"/>
            <w:bottom w:val="none" w:sz="0" w:space="0" w:color="auto"/>
            <w:right w:val="none" w:sz="0" w:space="0" w:color="auto"/>
          </w:divBdr>
        </w:div>
        <w:div w:id="659701818">
          <w:marLeft w:val="0"/>
          <w:marRight w:val="0"/>
          <w:marTop w:val="0"/>
          <w:marBottom w:val="0"/>
          <w:divBdr>
            <w:top w:val="none" w:sz="0" w:space="0" w:color="auto"/>
            <w:left w:val="none" w:sz="0" w:space="0" w:color="auto"/>
            <w:bottom w:val="none" w:sz="0" w:space="0" w:color="auto"/>
            <w:right w:val="none" w:sz="0" w:space="0" w:color="auto"/>
          </w:divBdr>
        </w:div>
        <w:div w:id="496305056">
          <w:marLeft w:val="0"/>
          <w:marRight w:val="0"/>
          <w:marTop w:val="0"/>
          <w:marBottom w:val="0"/>
          <w:divBdr>
            <w:top w:val="none" w:sz="0" w:space="0" w:color="auto"/>
            <w:left w:val="none" w:sz="0" w:space="0" w:color="auto"/>
            <w:bottom w:val="none" w:sz="0" w:space="0" w:color="auto"/>
            <w:right w:val="none" w:sz="0" w:space="0" w:color="auto"/>
          </w:divBdr>
        </w:div>
        <w:div w:id="354308687">
          <w:marLeft w:val="0"/>
          <w:marRight w:val="0"/>
          <w:marTop w:val="0"/>
          <w:marBottom w:val="0"/>
          <w:divBdr>
            <w:top w:val="none" w:sz="0" w:space="0" w:color="auto"/>
            <w:left w:val="none" w:sz="0" w:space="0" w:color="auto"/>
            <w:bottom w:val="none" w:sz="0" w:space="0" w:color="auto"/>
            <w:right w:val="none" w:sz="0" w:space="0" w:color="auto"/>
          </w:divBdr>
        </w:div>
        <w:div w:id="1235511743">
          <w:marLeft w:val="0"/>
          <w:marRight w:val="0"/>
          <w:marTop w:val="0"/>
          <w:marBottom w:val="0"/>
          <w:divBdr>
            <w:top w:val="none" w:sz="0" w:space="0" w:color="auto"/>
            <w:left w:val="none" w:sz="0" w:space="0" w:color="auto"/>
            <w:bottom w:val="none" w:sz="0" w:space="0" w:color="auto"/>
            <w:right w:val="none" w:sz="0" w:space="0" w:color="auto"/>
          </w:divBdr>
        </w:div>
        <w:div w:id="1947808423">
          <w:marLeft w:val="0"/>
          <w:marRight w:val="0"/>
          <w:marTop w:val="0"/>
          <w:marBottom w:val="0"/>
          <w:divBdr>
            <w:top w:val="none" w:sz="0" w:space="0" w:color="auto"/>
            <w:left w:val="none" w:sz="0" w:space="0" w:color="auto"/>
            <w:bottom w:val="none" w:sz="0" w:space="0" w:color="auto"/>
            <w:right w:val="none" w:sz="0" w:space="0" w:color="auto"/>
          </w:divBdr>
        </w:div>
        <w:div w:id="1405882931">
          <w:marLeft w:val="0"/>
          <w:marRight w:val="0"/>
          <w:marTop w:val="0"/>
          <w:marBottom w:val="0"/>
          <w:divBdr>
            <w:top w:val="none" w:sz="0" w:space="0" w:color="auto"/>
            <w:left w:val="none" w:sz="0" w:space="0" w:color="auto"/>
            <w:bottom w:val="none" w:sz="0" w:space="0" w:color="auto"/>
            <w:right w:val="none" w:sz="0" w:space="0" w:color="auto"/>
          </w:divBdr>
        </w:div>
        <w:div w:id="1210806242">
          <w:marLeft w:val="0"/>
          <w:marRight w:val="0"/>
          <w:marTop w:val="0"/>
          <w:marBottom w:val="0"/>
          <w:divBdr>
            <w:top w:val="none" w:sz="0" w:space="0" w:color="auto"/>
            <w:left w:val="none" w:sz="0" w:space="0" w:color="auto"/>
            <w:bottom w:val="none" w:sz="0" w:space="0" w:color="auto"/>
            <w:right w:val="none" w:sz="0" w:space="0" w:color="auto"/>
          </w:divBdr>
        </w:div>
        <w:div w:id="1459838309">
          <w:marLeft w:val="0"/>
          <w:marRight w:val="0"/>
          <w:marTop w:val="0"/>
          <w:marBottom w:val="0"/>
          <w:divBdr>
            <w:top w:val="none" w:sz="0" w:space="0" w:color="auto"/>
            <w:left w:val="none" w:sz="0" w:space="0" w:color="auto"/>
            <w:bottom w:val="none" w:sz="0" w:space="0" w:color="auto"/>
            <w:right w:val="none" w:sz="0" w:space="0" w:color="auto"/>
          </w:divBdr>
        </w:div>
        <w:div w:id="110053755">
          <w:marLeft w:val="0"/>
          <w:marRight w:val="0"/>
          <w:marTop w:val="0"/>
          <w:marBottom w:val="0"/>
          <w:divBdr>
            <w:top w:val="none" w:sz="0" w:space="0" w:color="auto"/>
            <w:left w:val="none" w:sz="0" w:space="0" w:color="auto"/>
            <w:bottom w:val="none" w:sz="0" w:space="0" w:color="auto"/>
            <w:right w:val="none" w:sz="0" w:space="0" w:color="auto"/>
          </w:divBdr>
        </w:div>
        <w:div w:id="265381114">
          <w:marLeft w:val="0"/>
          <w:marRight w:val="0"/>
          <w:marTop w:val="0"/>
          <w:marBottom w:val="0"/>
          <w:divBdr>
            <w:top w:val="none" w:sz="0" w:space="0" w:color="auto"/>
            <w:left w:val="none" w:sz="0" w:space="0" w:color="auto"/>
            <w:bottom w:val="none" w:sz="0" w:space="0" w:color="auto"/>
            <w:right w:val="none" w:sz="0" w:space="0" w:color="auto"/>
          </w:divBdr>
        </w:div>
        <w:div w:id="181347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D9%83%D8%AA%D8%A8%20%D8%AC%D8%AF%D9%8A%D8%AF%D8%A9\dourous_fi_al_3alaka_ben_lkor2an_wal_sonna.html" TargetMode="External"/><Relationship Id="rId13" Type="http://schemas.openxmlformats.org/officeDocument/2006/relationships/hyperlink" Target="file:///C:\Users\user6\Downloads\Telegram%20Desktop\%D9%83%D8%AA%D8%A8%20%D8%AC%D8%AF%D9%8A%D8%AF%D8%A9\dourous_fi_al_3alaka_ben_lkor2an_wal_sonna.ht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hyperlink" Target="file:///C:\Users\user6\Downloads\Telegram%20Desktop\%D9%83%D8%AA%D8%A8%20%D8%AC%D8%AF%D9%8A%D8%AF%D8%A9\dourous_fi_al_3alaka_ben_lkor2an_wal_sonna.html" TargetMode="External"/><Relationship Id="rId17" Type="http://schemas.openxmlformats.org/officeDocument/2006/relationships/hyperlink" Target="file:///C:\Users\user6\Downloads\Telegram%20Desktop\%D9%83%D8%AA%D8%A8%20%D8%AC%D8%AF%D9%8A%D8%AF%D8%A9\dourous_fi_al_3alaka_ben_lkor2an_wal_sonna.html" TargetMode="External"/><Relationship Id="rId2" Type="http://schemas.openxmlformats.org/officeDocument/2006/relationships/styles" Target="styles.xml"/><Relationship Id="rId16" Type="http://schemas.openxmlformats.org/officeDocument/2006/relationships/hyperlink" Target="file:///C:\Users\user6\Downloads\Telegram%20Desktop\%D9%83%D8%AA%D8%A8%20%D8%AC%D8%AF%D9%8A%D8%AF%D8%A9\dourous_fi_al_3alaka_ben_lkor2an_wal_sonna.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6\Downloads\Telegram%20Desktop\%D9%83%D8%AA%D8%A8%20%D8%AC%D8%AF%D9%8A%D8%AF%D8%A9\dourous_fi_al_3alaka_ben_lkor2an_wal_sonna.html" TargetMode="External"/><Relationship Id="rId5" Type="http://schemas.openxmlformats.org/officeDocument/2006/relationships/footnotes" Target="footnotes.xml"/><Relationship Id="rId15" Type="http://schemas.openxmlformats.org/officeDocument/2006/relationships/hyperlink" Target="file:///C:\Users\user6\Downloads\Telegram%20Desktop\%D9%83%D8%AA%D8%A8%20%D8%AC%D8%AF%D9%8A%D8%AF%D8%A9\dourous_fi_al_3alaka_ben_lkor2an_wal_sonna.html" TargetMode="External"/><Relationship Id="rId10" Type="http://schemas.openxmlformats.org/officeDocument/2006/relationships/hyperlink" Target="file:///C:\Users\user6\Downloads\Telegram%20Desktop\%D9%83%D8%AA%D8%A8%20%D8%AC%D8%AF%D9%8A%D8%AF%D8%A9\dourous_fi_al_3alaka_ben_lkor2an_wal_sonna.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user6\Downloads\Telegram%20Desktop\%D9%83%D8%AA%D8%A8%20%D8%AC%D8%AF%D9%8A%D8%AF%D8%A9\dourous_fi_al_3alaka_ben_lkor2an_wal_sonna.html" TargetMode="External"/><Relationship Id="rId14" Type="http://schemas.openxmlformats.org/officeDocument/2006/relationships/hyperlink" Target="file:///C:\Users\user6\Downloads\Telegram%20Desktop\%D9%83%D8%AA%D8%A8%20%D8%AC%D8%AF%D9%8A%D8%AF%D8%A9\dourous_fi_al_3alaka_ben_lkor2an_wal_son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1476D-2B52-4E08-98C4-FCE4A1927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Pages>
  <Words>19902</Words>
  <Characters>113442</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59</cp:revision>
  <dcterms:created xsi:type="dcterms:W3CDTF">2023-06-07T08:20:00Z</dcterms:created>
  <dcterms:modified xsi:type="dcterms:W3CDTF">2024-01-16T11:03:00Z</dcterms:modified>
</cp:coreProperties>
</file>